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3"/>
        <w:tblW w:w="9987" w:type="dxa"/>
        <w:tblCellMar>
          <w:left w:w="0" w:type="dxa"/>
          <w:right w:w="0" w:type="dxa"/>
        </w:tblCellMar>
        <w:tblLook w:val="04A0" w:firstRow="1" w:lastRow="0" w:firstColumn="1" w:lastColumn="0" w:noHBand="0" w:noVBand="1"/>
      </w:tblPr>
      <w:tblGrid>
        <w:gridCol w:w="9987"/>
      </w:tblGrid>
      <w:tr w:rsidR="00427EB2" w:rsidRPr="008C748D" w:rsidTr="00427EB2">
        <w:trPr>
          <w:trHeight w:val="859"/>
        </w:trPr>
        <w:tc>
          <w:tcPr>
            <w:tcW w:w="9987" w:type="dxa"/>
            <w:shd w:val="clear" w:color="auto" w:fill="auto"/>
            <w:vAlign w:val="bottom"/>
          </w:tcPr>
          <w:p w:rsidR="00427EB2" w:rsidRPr="00116F6F" w:rsidRDefault="00427EB2" w:rsidP="00427EB2">
            <w:pPr>
              <w:pStyle w:val="DPCmainheading"/>
              <w:rPr>
                <w:sz w:val="46"/>
                <w:szCs w:val="46"/>
              </w:rPr>
            </w:pPr>
            <w:r w:rsidRPr="00116F6F">
              <w:rPr>
                <w:sz w:val="46"/>
                <w:szCs w:val="46"/>
              </w:rPr>
              <w:t>Long Service Leave in Victoria</w:t>
            </w:r>
          </w:p>
        </w:tc>
      </w:tr>
      <w:tr w:rsidR="00427EB2" w:rsidRPr="008C748D" w:rsidTr="00427EB2">
        <w:trPr>
          <w:trHeight w:val="282"/>
        </w:trPr>
        <w:tc>
          <w:tcPr>
            <w:tcW w:w="9987" w:type="dxa"/>
            <w:shd w:val="clear" w:color="auto" w:fill="auto"/>
            <w:tcMar>
              <w:top w:w="284" w:type="dxa"/>
              <w:bottom w:w="454" w:type="dxa"/>
            </w:tcMar>
          </w:tcPr>
          <w:p w:rsidR="00427EB2" w:rsidRPr="004E10B9" w:rsidRDefault="00427EB2" w:rsidP="00427EB2">
            <w:pPr>
              <w:pStyle w:val="DPCmainsubheading"/>
              <w:rPr>
                <w:sz w:val="28"/>
                <w:szCs w:val="28"/>
              </w:rPr>
            </w:pPr>
            <w:r w:rsidRPr="004E10B9">
              <w:rPr>
                <w:sz w:val="28"/>
                <w:szCs w:val="28"/>
              </w:rPr>
              <w:t>Fact Sheet</w:t>
            </w:r>
            <w:r>
              <w:rPr>
                <w:sz w:val="28"/>
                <w:szCs w:val="28"/>
              </w:rPr>
              <w:t xml:space="preserve"> No. 1</w:t>
            </w:r>
            <w:r>
              <w:rPr>
                <w:sz w:val="28"/>
                <w:szCs w:val="28"/>
              </w:rPr>
              <w:br/>
              <w:t>The basics</w:t>
            </w:r>
          </w:p>
        </w:tc>
      </w:tr>
    </w:tbl>
    <w:p w:rsidR="00C07B16" w:rsidRPr="008C748D" w:rsidRDefault="00C07B16" w:rsidP="00C37731">
      <w:pPr>
        <w:pStyle w:val="Spacerparatopoffirstpage"/>
        <w:rPr>
          <w:noProof w:val="0"/>
        </w:rPr>
        <w:sectPr w:rsidR="00C07B16" w:rsidRPr="008C748D" w:rsidSect="00CE75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851" w:bottom="1134" w:left="1134" w:header="510" w:footer="510" w:gutter="0"/>
          <w:cols w:space="340"/>
          <w:docGrid w:linePitch="360"/>
        </w:sectPr>
      </w:pPr>
    </w:p>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4">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427EB2" w:rsidRDefault="00427EB2" w:rsidP="004878E1">
      <w:pPr>
        <w:pStyle w:val="DPCbody"/>
        <w:rPr>
          <w:color w:val="00559A" w:themeColor="accent1" w:themeShade="BF"/>
        </w:rPr>
      </w:pPr>
    </w:p>
    <w:p w:rsidR="004878E1" w:rsidRPr="007F3B6D" w:rsidRDefault="004878E1" w:rsidP="004878E1">
      <w:pPr>
        <w:pStyle w:val="DPCbody"/>
        <w:rPr>
          <w:color w:val="00559A" w:themeColor="accent1" w:themeShade="BF"/>
        </w:rPr>
      </w:pPr>
      <w:r w:rsidRPr="007F3B6D">
        <w:rPr>
          <w:color w:val="00559A" w:themeColor="accent1" w:themeShade="BF"/>
        </w:rPr>
        <w:t xml:space="preserve">The </w:t>
      </w:r>
      <w:r w:rsidRPr="007F3B6D">
        <w:rPr>
          <w:i/>
          <w:color w:val="00559A" w:themeColor="accent1" w:themeShade="BF"/>
        </w:rPr>
        <w:t>Long Service Leave Act 2018</w:t>
      </w:r>
      <w:r w:rsidRPr="007F3B6D">
        <w:rPr>
          <w:color w:val="00559A" w:themeColor="accent1" w:themeShade="BF"/>
        </w:rPr>
        <w:t xml:space="preserve"> (LSL Act 2018) commenced operation on 1 November 2018. It replaces the </w:t>
      </w:r>
      <w:r w:rsidRPr="007F3B6D">
        <w:rPr>
          <w:i/>
          <w:color w:val="00559A" w:themeColor="accent1" w:themeShade="BF"/>
        </w:rPr>
        <w:t>Long Service Leave Act 1992</w:t>
      </w:r>
      <w:r w:rsidRPr="007F3B6D">
        <w:rPr>
          <w:color w:val="00559A" w:themeColor="accent1" w:themeShade="BF"/>
        </w:rPr>
        <w:t>, following a legislative review, and broad industry and community consultation. The LSL Act 2018 brings long service leave into line with community standards, is easier to understand, and is fairer and more flexible.</w:t>
      </w:r>
    </w:p>
    <w:p w:rsidR="004878E1" w:rsidRPr="007F3B6D" w:rsidRDefault="004878E1" w:rsidP="004878E1">
      <w:pPr>
        <w:pStyle w:val="DPCbody"/>
        <w:rPr>
          <w:color w:val="00559A" w:themeColor="accent1" w:themeShade="BF"/>
        </w:rPr>
      </w:pPr>
      <w:r w:rsidRPr="007F3B6D">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w:t>
      </w:r>
      <w:r w:rsidRPr="007F3B6D">
        <w:rPr>
          <w:i/>
          <w:color w:val="00559A" w:themeColor="accent1" w:themeShade="BF"/>
        </w:rPr>
        <w:t>Construction Industry Long Service Leave Act 1997</w:t>
      </w:r>
      <w:r w:rsidRPr="007F3B6D">
        <w:rPr>
          <w:color w:val="00559A" w:themeColor="accent1" w:themeShade="BF"/>
        </w:rPr>
        <w:t xml:space="preserve"> administered by CoINVEST for workers in the construction industry.</w:t>
      </w:r>
    </w:p>
    <w:p w:rsidR="004878E1" w:rsidRDefault="004878E1" w:rsidP="004878E1">
      <w:pPr>
        <w:pStyle w:val="DPCbody"/>
        <w:rPr>
          <w:b/>
          <w:szCs w:val="20"/>
        </w:rPr>
      </w:pPr>
      <w:bookmarkStart w:id="0" w:name="_Hlk525047812"/>
      <w:r w:rsidRPr="00AB218B">
        <w:rPr>
          <w:b/>
          <w:szCs w:val="20"/>
        </w:rPr>
        <w:t>Th</w:t>
      </w:r>
      <w:r>
        <w:rPr>
          <w:b/>
          <w:szCs w:val="20"/>
        </w:rPr>
        <w:t>e</w:t>
      </w:r>
      <w:r w:rsidRPr="00AB218B">
        <w:rPr>
          <w:b/>
          <w:szCs w:val="20"/>
        </w:rPr>
        <w:t>s</w:t>
      </w:r>
      <w:r>
        <w:rPr>
          <w:b/>
          <w:szCs w:val="20"/>
        </w:rPr>
        <w:t>e</w:t>
      </w:r>
      <w:r w:rsidRPr="00AB218B">
        <w:rPr>
          <w:b/>
          <w:szCs w:val="20"/>
        </w:rPr>
        <w:t xml:space="preserve"> fact sheet</w:t>
      </w:r>
      <w:r>
        <w:rPr>
          <w:b/>
          <w:szCs w:val="20"/>
        </w:rPr>
        <w:t>s</w:t>
      </w:r>
      <w:r w:rsidRPr="00AB218B">
        <w:rPr>
          <w:b/>
          <w:szCs w:val="20"/>
        </w:rPr>
        <w:t xml:space="preserve"> </w:t>
      </w:r>
      <w:r>
        <w:rPr>
          <w:b/>
          <w:szCs w:val="20"/>
        </w:rPr>
        <w:t>are</w:t>
      </w:r>
      <w:r w:rsidRPr="00AB218B">
        <w:rPr>
          <w:b/>
          <w:szCs w:val="20"/>
        </w:rPr>
        <w:t xml:space="preserve"> a summary only and must be read in conjunction with more detailed information including the </w:t>
      </w:r>
      <w:r w:rsidRPr="00B02B4A">
        <w:rPr>
          <w:b/>
          <w:i/>
          <w:szCs w:val="20"/>
        </w:rPr>
        <w:t>Comprehensive Guide to the Long Service Leave Act 2018</w:t>
      </w:r>
      <w:r w:rsidRPr="00AB218B">
        <w:rPr>
          <w:b/>
          <w:szCs w:val="20"/>
        </w:rPr>
        <w:t xml:space="preserve"> and the L</w:t>
      </w:r>
      <w:r>
        <w:rPr>
          <w:b/>
          <w:szCs w:val="20"/>
        </w:rPr>
        <w:t>SL</w:t>
      </w:r>
      <w:r w:rsidRPr="00AB218B">
        <w:rPr>
          <w:b/>
          <w:szCs w:val="20"/>
        </w:rPr>
        <w:t xml:space="preserve"> Act 2018 to establish whether it applies </w:t>
      </w:r>
      <w:r>
        <w:rPr>
          <w:b/>
          <w:szCs w:val="20"/>
        </w:rPr>
        <w:t>to your individual</w:t>
      </w:r>
      <w:r w:rsidRPr="00AB218B">
        <w:rPr>
          <w:b/>
          <w:szCs w:val="20"/>
        </w:rPr>
        <w:t xml:space="preserve"> circumstance</w:t>
      </w:r>
      <w:r>
        <w:rPr>
          <w:b/>
          <w:szCs w:val="20"/>
        </w:rPr>
        <w:t>s</w:t>
      </w:r>
      <w:r w:rsidRPr="00AB218B">
        <w:rPr>
          <w:b/>
          <w:szCs w:val="20"/>
        </w:rPr>
        <w:t>.</w:t>
      </w:r>
      <w:bookmarkEnd w:id="0"/>
    </w:p>
    <w:p w:rsidR="00427EB2" w:rsidRPr="00AB218B" w:rsidRDefault="00427EB2" w:rsidP="004878E1">
      <w:pPr>
        <w:pStyle w:val="DPCbody"/>
        <w:rPr>
          <w:b/>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42"/>
        <w:gridCol w:w="5564"/>
      </w:tblGrid>
      <w:tr w:rsidR="00AD1740" w:rsidRPr="00C8471D" w:rsidTr="00AD1740">
        <w:tc>
          <w:tcPr>
            <w:tcW w:w="3342" w:type="dxa"/>
            <w:shd w:val="clear" w:color="auto" w:fill="auto"/>
          </w:tcPr>
          <w:p w:rsidR="00AD1740" w:rsidRPr="00C8471D" w:rsidRDefault="00AD1740" w:rsidP="00AD1740">
            <w:pPr>
              <w:pStyle w:val="DPCtablecolhead"/>
            </w:pPr>
            <w:r w:rsidRPr="00C8471D">
              <w:t>Provision</w:t>
            </w:r>
          </w:p>
        </w:tc>
        <w:tc>
          <w:tcPr>
            <w:tcW w:w="5564" w:type="dxa"/>
            <w:shd w:val="clear" w:color="auto" w:fill="auto"/>
          </w:tcPr>
          <w:p w:rsidR="00AD1740" w:rsidRPr="00C8471D" w:rsidRDefault="00AD1740" w:rsidP="00AD1740">
            <w:pPr>
              <w:pStyle w:val="DPCtablecolhead"/>
            </w:pPr>
            <w:r w:rsidRPr="00C8471D">
              <w:t>Application</w:t>
            </w:r>
          </w:p>
        </w:tc>
      </w:tr>
      <w:tr w:rsidR="00AD1740" w:rsidTr="00AD1740">
        <w:tc>
          <w:tcPr>
            <w:tcW w:w="3342" w:type="dxa"/>
            <w:shd w:val="clear" w:color="auto" w:fill="auto"/>
          </w:tcPr>
          <w:p w:rsidR="00AD1740" w:rsidRPr="00334A1A" w:rsidRDefault="00AD1740" w:rsidP="00AD1740">
            <w:pPr>
              <w:pStyle w:val="DPCtabletext"/>
            </w:pPr>
            <w:r w:rsidRPr="00334A1A">
              <w:t xml:space="preserve">The </w:t>
            </w:r>
            <w:r w:rsidRPr="0032006E">
              <w:t>Long Service Leave Act 2018</w:t>
            </w:r>
            <w:r w:rsidRPr="00334A1A">
              <w:t xml:space="preserve"> applies to</w:t>
            </w:r>
          </w:p>
        </w:tc>
        <w:tc>
          <w:tcPr>
            <w:tcW w:w="5564" w:type="dxa"/>
            <w:shd w:val="clear" w:color="auto" w:fill="auto"/>
          </w:tcPr>
          <w:p w:rsidR="00AD1740" w:rsidRPr="00334A1A" w:rsidRDefault="00AD1740" w:rsidP="00AD1740">
            <w:pPr>
              <w:pStyle w:val="DPCtabletext"/>
            </w:pPr>
            <w:r w:rsidRPr="00334A1A">
              <w:t>Most Victorian employees (excluding employees under some Commonwealth enterprise agreements and pre-reform awards, and certain other Victorian laws)</w:t>
            </w:r>
          </w:p>
        </w:tc>
      </w:tr>
      <w:tr w:rsidR="00AD1740" w:rsidTr="00AD1740">
        <w:tc>
          <w:tcPr>
            <w:tcW w:w="3342" w:type="dxa"/>
            <w:shd w:val="clear" w:color="auto" w:fill="auto"/>
          </w:tcPr>
          <w:p w:rsidR="00AD1740" w:rsidRPr="00334A1A" w:rsidRDefault="00AD1740" w:rsidP="00AD1740">
            <w:pPr>
              <w:pStyle w:val="DPCtabletext"/>
            </w:pPr>
            <w:r w:rsidRPr="00334A1A">
              <w:t>Categories/types of employ generally covered include</w:t>
            </w:r>
          </w:p>
        </w:tc>
        <w:tc>
          <w:tcPr>
            <w:tcW w:w="5564" w:type="dxa"/>
            <w:shd w:val="clear" w:color="auto" w:fill="auto"/>
          </w:tcPr>
          <w:p w:rsidR="00AD1740" w:rsidRPr="00334A1A" w:rsidRDefault="00AD1740" w:rsidP="00AD1740">
            <w:pPr>
              <w:pStyle w:val="DPCtabletext"/>
            </w:pPr>
            <w:r w:rsidRPr="00334A1A">
              <w:t>Full time</w:t>
            </w:r>
          </w:p>
          <w:p w:rsidR="00AD1740" w:rsidRPr="00334A1A" w:rsidRDefault="00AD1740" w:rsidP="00AD1740">
            <w:pPr>
              <w:pStyle w:val="DPCtabletext"/>
            </w:pPr>
            <w:r w:rsidRPr="00334A1A">
              <w:t>Part time</w:t>
            </w:r>
          </w:p>
          <w:p w:rsidR="00AD1740" w:rsidRPr="00334A1A" w:rsidRDefault="00AD1740" w:rsidP="00AD1740">
            <w:pPr>
              <w:pStyle w:val="DPCtabletext"/>
            </w:pPr>
            <w:r w:rsidRPr="00334A1A">
              <w:t>Casual</w:t>
            </w:r>
          </w:p>
          <w:p w:rsidR="00AD1740" w:rsidRPr="00334A1A" w:rsidRDefault="00AD1740" w:rsidP="00AD1740">
            <w:pPr>
              <w:pStyle w:val="DPCtabletext"/>
            </w:pPr>
            <w:r w:rsidRPr="00334A1A">
              <w:t>Seasonal</w:t>
            </w:r>
          </w:p>
          <w:p w:rsidR="00AD1740" w:rsidRPr="00334A1A" w:rsidRDefault="00AD1740" w:rsidP="00AD1740">
            <w:pPr>
              <w:pStyle w:val="DPCtabletext"/>
            </w:pPr>
            <w:r w:rsidRPr="00334A1A">
              <w:t>Fixed term</w:t>
            </w:r>
          </w:p>
        </w:tc>
      </w:tr>
      <w:tr w:rsidR="00AD1740" w:rsidTr="00AD1740">
        <w:tc>
          <w:tcPr>
            <w:tcW w:w="3342" w:type="dxa"/>
            <w:shd w:val="clear" w:color="auto" w:fill="auto"/>
          </w:tcPr>
          <w:p w:rsidR="00AD1740" w:rsidRPr="00334A1A" w:rsidRDefault="00AD1740" w:rsidP="00AD1740">
            <w:pPr>
              <w:pStyle w:val="DPCtabletext"/>
            </w:pPr>
            <w:r w:rsidRPr="00334A1A">
              <w:t>Entitlement</w:t>
            </w:r>
          </w:p>
        </w:tc>
        <w:tc>
          <w:tcPr>
            <w:tcW w:w="5564" w:type="dxa"/>
            <w:shd w:val="clear" w:color="auto" w:fill="auto"/>
          </w:tcPr>
          <w:p w:rsidR="00AD1740" w:rsidRPr="00334A1A" w:rsidRDefault="00AD1740" w:rsidP="00AD1740">
            <w:pPr>
              <w:pStyle w:val="DPCtabletext"/>
            </w:pPr>
            <w:r w:rsidRPr="00334A1A">
              <w:t xml:space="preserve">After </w:t>
            </w:r>
            <w:r>
              <w:t>completing a minimum of 7 years</w:t>
            </w:r>
            <w:r w:rsidRPr="00334A1A">
              <w:t xml:space="preserve"> ‘continuous employment’ with ‘one employer’, an employee is entitled to an amount of long service leave on ordinary pay equal to 1/60</w:t>
            </w:r>
            <w:r w:rsidRPr="00334A1A">
              <w:rPr>
                <w:vertAlign w:val="superscript"/>
              </w:rPr>
              <w:t>th</w:t>
            </w:r>
            <w:r w:rsidRPr="00334A1A">
              <w:t xml:space="preserve"> of the period of employment (approx. 6.1 weeks after 7 years), less any period taken during that period, which continues to accrue at the same rate thereafter.</w:t>
            </w:r>
          </w:p>
        </w:tc>
      </w:tr>
      <w:tr w:rsidR="00AD1740" w:rsidRPr="00110A23" w:rsidTr="00AD1740">
        <w:tc>
          <w:tcPr>
            <w:tcW w:w="3342" w:type="dxa"/>
            <w:shd w:val="clear" w:color="auto" w:fill="auto"/>
          </w:tcPr>
          <w:p w:rsidR="00AD1740" w:rsidRPr="00334A1A" w:rsidRDefault="00AD1740" w:rsidP="00AD1740">
            <w:pPr>
              <w:pStyle w:val="DPCtabletext"/>
            </w:pPr>
            <w:r w:rsidRPr="00334A1A">
              <w:t>Entitlement on termination</w:t>
            </w:r>
          </w:p>
        </w:tc>
        <w:tc>
          <w:tcPr>
            <w:tcW w:w="5564" w:type="dxa"/>
            <w:shd w:val="clear" w:color="auto" w:fill="auto"/>
          </w:tcPr>
          <w:p w:rsidR="00AD1740" w:rsidRPr="00334A1A" w:rsidRDefault="00AD1740" w:rsidP="00AD1740">
            <w:pPr>
              <w:pStyle w:val="DPCtabletext"/>
            </w:pPr>
            <w:r w:rsidRPr="00334A1A">
              <w:t>Same as the entitlement to take leave, except that the employee with a minimum of 7 years continuous employment with ‘one employer’ is instead entitled to payment for an amount of long service leave</w:t>
            </w:r>
            <w:r>
              <w:t>.</w:t>
            </w:r>
            <w:r w:rsidRPr="00334A1A">
              <w:t xml:space="preserve"> The payment must be made to the employee on the day employment ends</w:t>
            </w:r>
            <w:r>
              <w:t>.</w:t>
            </w:r>
          </w:p>
        </w:tc>
      </w:tr>
      <w:tr w:rsidR="00AD1740" w:rsidTr="00AD1740">
        <w:tc>
          <w:tcPr>
            <w:tcW w:w="3342" w:type="dxa"/>
            <w:shd w:val="clear" w:color="auto" w:fill="auto"/>
          </w:tcPr>
          <w:p w:rsidR="00AD1740" w:rsidRPr="00334A1A" w:rsidRDefault="00AD1740" w:rsidP="00AD1740">
            <w:pPr>
              <w:pStyle w:val="DPCtabletext"/>
            </w:pPr>
            <w:r w:rsidRPr="00334A1A">
              <w:t>Calculation of payment</w:t>
            </w:r>
          </w:p>
        </w:tc>
        <w:tc>
          <w:tcPr>
            <w:tcW w:w="5564" w:type="dxa"/>
            <w:shd w:val="clear" w:color="auto" w:fill="auto"/>
          </w:tcPr>
          <w:p w:rsidR="00AD1740" w:rsidRPr="00334A1A" w:rsidRDefault="00AD1740" w:rsidP="00AD1740">
            <w:pPr>
              <w:pStyle w:val="DPCtabletext"/>
            </w:pPr>
            <w:r w:rsidRPr="00334A1A">
              <w:t>LSL paid at ‘ordinary pay’. If hours changed or no fixed hours or if no ordinary time rate of pay, averaging is required.</w:t>
            </w:r>
          </w:p>
        </w:tc>
      </w:tr>
    </w:tbl>
    <w:p w:rsidR="00AD1740" w:rsidRDefault="00AD1740">
      <w: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42"/>
        <w:gridCol w:w="5564"/>
      </w:tblGrid>
      <w:tr w:rsidR="00AD1740" w:rsidRPr="00110A23" w:rsidTr="00AD1740">
        <w:tc>
          <w:tcPr>
            <w:tcW w:w="3342" w:type="dxa"/>
            <w:shd w:val="clear" w:color="auto" w:fill="auto"/>
          </w:tcPr>
          <w:p w:rsidR="00AD1740" w:rsidRPr="00334A1A" w:rsidRDefault="00AD1740" w:rsidP="00AD1740">
            <w:pPr>
              <w:pStyle w:val="DPCtabletext"/>
            </w:pPr>
            <w:r w:rsidRPr="00334A1A">
              <w:lastRenderedPageBreak/>
              <w:t>Taking long service leave</w:t>
            </w:r>
          </w:p>
        </w:tc>
        <w:tc>
          <w:tcPr>
            <w:tcW w:w="5564" w:type="dxa"/>
            <w:shd w:val="clear" w:color="auto" w:fill="auto"/>
          </w:tcPr>
          <w:p w:rsidR="00AD1740" w:rsidRPr="00334A1A" w:rsidRDefault="00AD1740" w:rsidP="00AD1740">
            <w:pPr>
              <w:pStyle w:val="DPCtabletext"/>
            </w:pPr>
            <w:r w:rsidRPr="00334A1A">
              <w:t>Requests to take leave any time after 7 years to be granted as soon as practicable. Employer can direct an empl</w:t>
            </w:r>
            <w:r>
              <w:t>oyee to take leave via 12 weeks</w:t>
            </w:r>
            <w:r w:rsidRPr="00334A1A">
              <w:t xml:space="preserve"> written notice</w:t>
            </w:r>
            <w:r>
              <w:t>.</w:t>
            </w:r>
          </w:p>
        </w:tc>
      </w:tr>
      <w:tr w:rsidR="00AD1740" w:rsidTr="00AD1740">
        <w:tc>
          <w:tcPr>
            <w:tcW w:w="3342" w:type="dxa"/>
            <w:shd w:val="clear" w:color="auto" w:fill="auto"/>
          </w:tcPr>
          <w:p w:rsidR="00AD1740" w:rsidRPr="00334A1A" w:rsidRDefault="00AD1740" w:rsidP="00AD1740">
            <w:pPr>
              <w:pStyle w:val="DPCtabletext"/>
            </w:pPr>
            <w:r w:rsidRPr="00334A1A">
              <w:t>Method of taking leave</w:t>
            </w:r>
          </w:p>
        </w:tc>
        <w:tc>
          <w:tcPr>
            <w:tcW w:w="5564" w:type="dxa"/>
            <w:shd w:val="clear" w:color="auto" w:fill="auto"/>
          </w:tcPr>
          <w:p w:rsidR="00AD1740" w:rsidRPr="00334A1A" w:rsidRDefault="00AD1740" w:rsidP="00AD1740">
            <w:pPr>
              <w:pStyle w:val="DPCtabletext"/>
            </w:pPr>
            <w:r w:rsidRPr="00334A1A">
              <w:t>Taken in any period of not less than 1 day, can be taken at half pay</w:t>
            </w:r>
          </w:p>
        </w:tc>
      </w:tr>
      <w:tr w:rsidR="00AD1740" w:rsidTr="00AD1740">
        <w:tc>
          <w:tcPr>
            <w:tcW w:w="3342" w:type="dxa"/>
            <w:shd w:val="clear" w:color="auto" w:fill="auto"/>
          </w:tcPr>
          <w:p w:rsidR="00AD1740" w:rsidRPr="00334A1A" w:rsidRDefault="00AD1740" w:rsidP="00AD1740">
            <w:pPr>
              <w:pStyle w:val="DPCtabletext"/>
            </w:pPr>
            <w:r w:rsidRPr="00334A1A">
              <w:t>Work during long service leave</w:t>
            </w:r>
          </w:p>
        </w:tc>
        <w:tc>
          <w:tcPr>
            <w:tcW w:w="5564" w:type="dxa"/>
            <w:shd w:val="clear" w:color="auto" w:fill="auto"/>
          </w:tcPr>
          <w:p w:rsidR="00AD1740" w:rsidRPr="00334A1A" w:rsidRDefault="00AD1740" w:rsidP="00AD1740">
            <w:pPr>
              <w:pStyle w:val="DPCtabletext"/>
            </w:pPr>
            <w:r w:rsidRPr="00334A1A">
              <w:t>Prohibited</w:t>
            </w:r>
          </w:p>
        </w:tc>
      </w:tr>
      <w:tr w:rsidR="00AD1740" w:rsidTr="00AD1740">
        <w:tc>
          <w:tcPr>
            <w:tcW w:w="3342" w:type="dxa"/>
            <w:shd w:val="clear" w:color="auto" w:fill="auto"/>
          </w:tcPr>
          <w:p w:rsidR="00AD1740" w:rsidRPr="00334A1A" w:rsidRDefault="00AD1740" w:rsidP="00AD1740">
            <w:pPr>
              <w:pStyle w:val="DPCtabletext"/>
            </w:pPr>
            <w:r w:rsidRPr="00334A1A">
              <w:t>Cashing out</w:t>
            </w:r>
          </w:p>
        </w:tc>
        <w:tc>
          <w:tcPr>
            <w:tcW w:w="5564" w:type="dxa"/>
            <w:shd w:val="clear" w:color="auto" w:fill="auto"/>
          </w:tcPr>
          <w:p w:rsidR="00AD1740" w:rsidRPr="00334A1A" w:rsidRDefault="00AD1740" w:rsidP="00AD1740">
            <w:pPr>
              <w:pStyle w:val="DPCtabletext"/>
            </w:pPr>
            <w:r w:rsidRPr="00334A1A">
              <w:t>Prohibited</w:t>
            </w:r>
          </w:p>
        </w:tc>
      </w:tr>
      <w:tr w:rsidR="00AD1740" w:rsidTr="00AD1740">
        <w:tc>
          <w:tcPr>
            <w:tcW w:w="3342" w:type="dxa"/>
            <w:shd w:val="clear" w:color="auto" w:fill="auto"/>
          </w:tcPr>
          <w:p w:rsidR="00AD1740" w:rsidRPr="00334A1A" w:rsidRDefault="00AD1740" w:rsidP="00AD1740">
            <w:pPr>
              <w:pStyle w:val="DPCtabletext"/>
            </w:pPr>
            <w:r w:rsidRPr="00334A1A">
              <w:t>Contracting out</w:t>
            </w:r>
          </w:p>
        </w:tc>
        <w:tc>
          <w:tcPr>
            <w:tcW w:w="5564" w:type="dxa"/>
            <w:shd w:val="clear" w:color="auto" w:fill="auto"/>
          </w:tcPr>
          <w:p w:rsidR="00AD1740" w:rsidRPr="00334A1A" w:rsidRDefault="00AD1740" w:rsidP="00AD1740">
            <w:pPr>
              <w:pStyle w:val="DPCtabletext"/>
            </w:pPr>
            <w:r w:rsidRPr="00334A1A">
              <w:t>Prohibited</w:t>
            </w:r>
          </w:p>
        </w:tc>
      </w:tr>
      <w:tr w:rsidR="00AD1740" w:rsidTr="00AD1740">
        <w:tc>
          <w:tcPr>
            <w:tcW w:w="3342" w:type="dxa"/>
            <w:shd w:val="clear" w:color="auto" w:fill="auto"/>
          </w:tcPr>
          <w:p w:rsidR="00AD1740" w:rsidRPr="00334A1A" w:rsidRDefault="00AD1740" w:rsidP="00AD1740">
            <w:pPr>
              <w:pStyle w:val="DPCtabletext"/>
            </w:pPr>
            <w:r w:rsidRPr="00334A1A">
              <w:t>Leave and absences break service</w:t>
            </w:r>
          </w:p>
        </w:tc>
        <w:tc>
          <w:tcPr>
            <w:tcW w:w="5564" w:type="dxa"/>
            <w:shd w:val="clear" w:color="auto" w:fill="auto"/>
          </w:tcPr>
          <w:p w:rsidR="00AD1740" w:rsidRPr="00334A1A" w:rsidRDefault="00AD1740" w:rsidP="00AD1740">
            <w:pPr>
              <w:pStyle w:val="DPCtabletext"/>
            </w:pPr>
            <w:r w:rsidRPr="00334A1A">
              <w:t xml:space="preserve">See Fact </w:t>
            </w:r>
            <w:r>
              <w:t>S</w:t>
            </w:r>
            <w:r w:rsidRPr="00334A1A">
              <w:t>heet No. 6 – Accrual of long service leave – impact of leave, absences and interruptions</w:t>
            </w:r>
          </w:p>
        </w:tc>
      </w:tr>
      <w:tr w:rsidR="00AD1740" w:rsidTr="00AD1740">
        <w:tc>
          <w:tcPr>
            <w:tcW w:w="3342" w:type="dxa"/>
            <w:shd w:val="clear" w:color="auto" w:fill="auto"/>
          </w:tcPr>
          <w:p w:rsidR="00AD1740" w:rsidRPr="00334A1A" w:rsidRDefault="00AD1740" w:rsidP="00AD1740">
            <w:pPr>
              <w:pStyle w:val="DPCtabletext"/>
            </w:pPr>
            <w:r w:rsidRPr="00334A1A">
              <w:t>Leave and absences that count for employment</w:t>
            </w:r>
          </w:p>
        </w:tc>
        <w:tc>
          <w:tcPr>
            <w:tcW w:w="5564" w:type="dxa"/>
            <w:shd w:val="clear" w:color="auto" w:fill="auto"/>
          </w:tcPr>
          <w:p w:rsidR="00AD1740" w:rsidRPr="00334A1A" w:rsidRDefault="00AD1740" w:rsidP="00AD1740">
            <w:pPr>
              <w:pStyle w:val="DPCtabletext"/>
            </w:pPr>
            <w:r w:rsidRPr="00334A1A">
              <w:t xml:space="preserve">See Fact </w:t>
            </w:r>
            <w:r>
              <w:t>S</w:t>
            </w:r>
            <w:r w:rsidRPr="00334A1A">
              <w:t>heet No. 6 – Accrual of long service leave – impact of leave, absences and interruptions</w:t>
            </w:r>
          </w:p>
        </w:tc>
        <w:bookmarkStart w:id="1" w:name="_GoBack"/>
        <w:bookmarkEnd w:id="1"/>
      </w:tr>
      <w:tr w:rsidR="00AD1740" w:rsidTr="00AD1740">
        <w:tc>
          <w:tcPr>
            <w:tcW w:w="3342" w:type="dxa"/>
            <w:shd w:val="clear" w:color="auto" w:fill="auto"/>
          </w:tcPr>
          <w:p w:rsidR="00AD1740" w:rsidRPr="00334A1A" w:rsidRDefault="00AD1740" w:rsidP="00AD1740">
            <w:pPr>
              <w:pStyle w:val="DPCtabletext"/>
            </w:pPr>
            <w:r w:rsidRPr="00334A1A">
              <w:t>Record keeping</w:t>
            </w:r>
          </w:p>
        </w:tc>
        <w:tc>
          <w:tcPr>
            <w:tcW w:w="5564" w:type="dxa"/>
            <w:shd w:val="clear" w:color="auto" w:fill="auto"/>
          </w:tcPr>
          <w:p w:rsidR="00AD1740" w:rsidRPr="00334A1A" w:rsidRDefault="00AD1740" w:rsidP="00AD1740">
            <w:pPr>
              <w:pStyle w:val="DPCtabletext"/>
            </w:pPr>
            <w:r w:rsidRPr="00334A1A">
              <w:t xml:space="preserve">Employer must keep records during employment and retain for 7 years following termination </w:t>
            </w:r>
          </w:p>
        </w:tc>
      </w:tr>
      <w:tr w:rsidR="00AD1740" w:rsidTr="00AD1740">
        <w:tc>
          <w:tcPr>
            <w:tcW w:w="3342" w:type="dxa"/>
            <w:shd w:val="clear" w:color="auto" w:fill="auto"/>
          </w:tcPr>
          <w:p w:rsidR="00AD1740" w:rsidRPr="00334A1A" w:rsidRDefault="00AD1740" w:rsidP="00AD1740">
            <w:pPr>
              <w:pStyle w:val="DPCtabletext"/>
            </w:pPr>
            <w:r w:rsidRPr="00334A1A">
              <w:t>Authorised officers</w:t>
            </w:r>
          </w:p>
        </w:tc>
        <w:tc>
          <w:tcPr>
            <w:tcW w:w="5564" w:type="dxa"/>
            <w:shd w:val="clear" w:color="auto" w:fill="auto"/>
          </w:tcPr>
          <w:p w:rsidR="00AD1740" w:rsidRPr="00334A1A" w:rsidRDefault="00AD1740" w:rsidP="00AD1740">
            <w:pPr>
              <w:pStyle w:val="DPCtabletext"/>
            </w:pPr>
            <w:r w:rsidRPr="00334A1A">
              <w:t>Powers to require records</w:t>
            </w:r>
          </w:p>
        </w:tc>
      </w:tr>
      <w:tr w:rsidR="00AD1740" w:rsidTr="00AD1740">
        <w:tc>
          <w:tcPr>
            <w:tcW w:w="3342" w:type="dxa"/>
            <w:shd w:val="clear" w:color="auto" w:fill="auto"/>
          </w:tcPr>
          <w:p w:rsidR="00AD1740" w:rsidRPr="00334A1A" w:rsidRDefault="00AD1740" w:rsidP="00AD1740">
            <w:pPr>
              <w:pStyle w:val="DPCtabletext"/>
            </w:pPr>
            <w:r w:rsidRPr="00334A1A">
              <w:t>Employees</w:t>
            </w:r>
          </w:p>
        </w:tc>
        <w:tc>
          <w:tcPr>
            <w:tcW w:w="5564" w:type="dxa"/>
            <w:shd w:val="clear" w:color="auto" w:fill="auto"/>
          </w:tcPr>
          <w:p w:rsidR="00AD1740" w:rsidRPr="00334A1A" w:rsidRDefault="00AD1740" w:rsidP="00AD1740">
            <w:pPr>
              <w:pStyle w:val="DPCtabletext"/>
            </w:pPr>
            <w:r w:rsidRPr="00334A1A">
              <w:t>Right to request a long service leave record</w:t>
            </w:r>
          </w:p>
        </w:tc>
      </w:tr>
      <w:tr w:rsidR="00AD1740" w:rsidTr="00AD1740">
        <w:tc>
          <w:tcPr>
            <w:tcW w:w="3342" w:type="dxa"/>
            <w:shd w:val="clear" w:color="auto" w:fill="auto"/>
          </w:tcPr>
          <w:p w:rsidR="00AD1740" w:rsidRPr="00334A1A" w:rsidRDefault="00AD1740" w:rsidP="00AD1740">
            <w:pPr>
              <w:pStyle w:val="DPCtabletext"/>
            </w:pPr>
            <w:r w:rsidRPr="00334A1A">
              <w:t>Penalties</w:t>
            </w:r>
          </w:p>
        </w:tc>
        <w:tc>
          <w:tcPr>
            <w:tcW w:w="5564" w:type="dxa"/>
            <w:shd w:val="clear" w:color="auto" w:fill="auto"/>
          </w:tcPr>
          <w:p w:rsidR="00AD1740" w:rsidRPr="00334A1A" w:rsidRDefault="00AD1740" w:rsidP="00AD1740">
            <w:pPr>
              <w:pStyle w:val="DPCtabletext"/>
            </w:pPr>
            <w:r w:rsidRPr="00334A1A">
              <w:t>Apply to individuals and body corporates</w:t>
            </w:r>
          </w:p>
        </w:tc>
      </w:tr>
    </w:tbl>
    <w:p w:rsidR="004878E1" w:rsidRDefault="004878E1" w:rsidP="004878E1">
      <w:pPr>
        <w:pStyle w:val="DPCbody"/>
        <w:rPr>
          <w:rFonts w:ascii="Calibri" w:eastAsiaTheme="minorHAnsi" w:hAnsi="Calibri" w:cs="Calibri"/>
        </w:rPr>
      </w:pPr>
    </w:p>
    <w:p w:rsidR="004878E1" w:rsidRPr="00AB218B" w:rsidRDefault="004878E1" w:rsidP="004878E1">
      <w:pPr>
        <w:pStyle w:val="Heading4"/>
      </w:pPr>
      <w:r>
        <w:t>For m</w:t>
      </w:r>
      <w:r w:rsidRPr="004F230C">
        <w:t xml:space="preserve">ore </w:t>
      </w:r>
      <w:r>
        <w:t>i</w:t>
      </w:r>
      <w:r w:rsidRPr="004F230C">
        <w:t>nformation</w:t>
      </w:r>
      <w:r>
        <w:t xml:space="preserve">, see our </w:t>
      </w:r>
      <w:r w:rsidRPr="004F230C">
        <w:t>Comprehensive Guide</w:t>
      </w:r>
    </w:p>
    <w:p w:rsidR="004878E1" w:rsidRPr="00AB218B" w:rsidRDefault="004878E1" w:rsidP="004878E1">
      <w:pPr>
        <w:pStyle w:val="DPCbody"/>
        <w:rPr>
          <w:szCs w:val="20"/>
        </w:rPr>
      </w:pPr>
      <w:r w:rsidRPr="00AB218B">
        <w:rPr>
          <w:szCs w:val="20"/>
        </w:rPr>
        <w:t xml:space="preserve">The Victorian Government has published a </w:t>
      </w:r>
      <w:r w:rsidRPr="00B02B4A">
        <w:rPr>
          <w:i/>
          <w:szCs w:val="20"/>
        </w:rPr>
        <w:t>Comprehensive Guide to the Victorian Long Service Leave Act 2018</w:t>
      </w:r>
      <w:r w:rsidRPr="00AB218B">
        <w:rPr>
          <w:szCs w:val="20"/>
        </w:rPr>
        <w:t xml:space="preserve">. </w:t>
      </w:r>
      <w:r>
        <w:rPr>
          <w:szCs w:val="20"/>
        </w:rPr>
        <w:t>This</w:t>
      </w:r>
      <w:r w:rsidRPr="00AB218B">
        <w:rPr>
          <w:szCs w:val="20"/>
        </w:rPr>
        <w:t xml:space="preserve"> replaces the 1992 version </w:t>
      </w:r>
      <w:r>
        <w:rPr>
          <w:szCs w:val="20"/>
        </w:rPr>
        <w:t xml:space="preserve">and </w:t>
      </w:r>
      <w:r w:rsidRPr="00AB218B">
        <w:rPr>
          <w:szCs w:val="20"/>
        </w:rPr>
        <w:t>will make it easy for employers and employees to understand their rights and obligations.</w:t>
      </w:r>
    </w:p>
    <w:p w:rsidR="00AD1740" w:rsidRPr="00AB218B" w:rsidRDefault="004878E1" w:rsidP="004878E1">
      <w:pPr>
        <w:pStyle w:val="DPCbody"/>
        <w:rPr>
          <w:szCs w:val="20"/>
        </w:rPr>
      </w:pPr>
      <w:r>
        <w:rPr>
          <w:szCs w:val="20"/>
        </w:rPr>
        <w:t>T</w:t>
      </w:r>
      <w:r w:rsidRPr="00AB218B">
        <w:rPr>
          <w:szCs w:val="20"/>
        </w:rPr>
        <w:t>he 2018 Comprehensive Guide is available to download at</w:t>
      </w:r>
      <w:r>
        <w:rPr>
          <w:rStyle w:val="Hyperlink"/>
          <w:szCs w:val="20"/>
        </w:rPr>
        <w:t xml:space="preserve"> </w:t>
      </w:r>
      <w:hyperlink r:id="rId15" w:history="1">
        <w:r w:rsidRPr="00B02B4A">
          <w:rPr>
            <w:rStyle w:val="Hyperlink"/>
            <w:szCs w:val="20"/>
          </w:rPr>
          <w:t>business.vic.gov.au/longserviceleave</w:t>
        </w:r>
      </w:hyperlink>
      <w:r w:rsidRPr="00AB218B">
        <w:rPr>
          <w:szCs w:val="20"/>
        </w:rPr>
        <w:t xml:space="preserve"> or call </w:t>
      </w:r>
      <w:r w:rsidRPr="00822C05">
        <w:rPr>
          <w:b/>
          <w:szCs w:val="20"/>
        </w:rPr>
        <w:t>1800 287 287</w:t>
      </w:r>
      <w:r w:rsidRPr="00AB218B">
        <w:rPr>
          <w:szCs w:val="20"/>
        </w:rPr>
        <w:t xml:space="preserve"> for a copy</w:t>
      </w:r>
      <w:r w:rsidR="007F3B6D">
        <w:rPr>
          <w:szCs w:val="20"/>
        </w:rPr>
        <w:t>.</w:t>
      </w:r>
    </w:p>
    <w:p w:rsidR="004878E1" w:rsidRPr="004F230C" w:rsidRDefault="004878E1" w:rsidP="007F3B6D">
      <w:pPr>
        <w:pStyle w:val="Heading4"/>
      </w:pPr>
      <w:r>
        <w:t>Wage Inspectorate c</w:t>
      </w:r>
      <w:r w:rsidRPr="00AB218B">
        <w:t>ontact details</w:t>
      </w:r>
      <w:r w:rsidRPr="00AB218B">
        <w:tab/>
      </w:r>
      <w:r w:rsidRPr="004F230C">
        <w:t xml:space="preserve"> </w:t>
      </w:r>
    </w:p>
    <w:p w:rsidR="004878E1" w:rsidRPr="00AB218B" w:rsidRDefault="004878E1" w:rsidP="007F3B6D">
      <w:pPr>
        <w:pStyle w:val="DPCbody"/>
        <w:spacing w:after="0"/>
        <w:rPr>
          <w:szCs w:val="20"/>
        </w:rPr>
      </w:pPr>
      <w:r w:rsidRPr="00AB218B">
        <w:rPr>
          <w:szCs w:val="20"/>
        </w:rPr>
        <w:t>Website</w:t>
      </w:r>
      <w:r w:rsidRPr="00AB218B">
        <w:rPr>
          <w:szCs w:val="20"/>
        </w:rPr>
        <w:tab/>
      </w:r>
      <w:r w:rsidRPr="00AB218B">
        <w:rPr>
          <w:szCs w:val="20"/>
        </w:rPr>
        <w:tab/>
      </w:r>
      <w:hyperlink r:id="rId16" w:history="1">
        <w:r w:rsidRPr="00B02B4A">
          <w:rPr>
            <w:rStyle w:val="Hyperlink"/>
            <w:szCs w:val="20"/>
          </w:rPr>
          <w:t>business.vic.gov.au/longserviceleave</w:t>
        </w:r>
      </w:hyperlink>
      <w:r w:rsidRPr="00AB218B">
        <w:rPr>
          <w:szCs w:val="20"/>
        </w:rPr>
        <w:t xml:space="preserve"> </w:t>
      </w:r>
    </w:p>
    <w:p w:rsidR="004878E1" w:rsidRPr="00AB218B" w:rsidRDefault="004878E1" w:rsidP="007F3B6D">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7" w:history="1">
        <w:r w:rsidRPr="00AC600A">
          <w:rPr>
            <w:rStyle w:val="Hyperlink"/>
            <w:szCs w:val="20"/>
          </w:rPr>
          <w:t>longserviceleave@dpc.vic.gov.au</w:t>
        </w:r>
      </w:hyperlink>
    </w:p>
    <w:p w:rsidR="004878E1" w:rsidRPr="00AB218B" w:rsidRDefault="004878E1" w:rsidP="007F3B6D">
      <w:pPr>
        <w:pStyle w:val="DPCbody"/>
        <w:spacing w:after="0"/>
        <w:rPr>
          <w:szCs w:val="20"/>
        </w:rPr>
      </w:pPr>
      <w:r w:rsidRPr="00AB218B">
        <w:rPr>
          <w:szCs w:val="20"/>
        </w:rPr>
        <w:t>Phone</w:t>
      </w:r>
      <w:r w:rsidRPr="00AB218B">
        <w:rPr>
          <w:szCs w:val="20"/>
        </w:rPr>
        <w:tab/>
      </w:r>
      <w:r w:rsidRPr="00AB218B">
        <w:rPr>
          <w:szCs w:val="20"/>
        </w:rPr>
        <w:tab/>
      </w:r>
      <w:r w:rsidRPr="00AB218B">
        <w:rPr>
          <w:szCs w:val="20"/>
        </w:rPr>
        <w:tab/>
        <w:t>1800 287 287</w:t>
      </w:r>
    </w:p>
    <w:p w:rsidR="004878E1" w:rsidRPr="00AB218B" w:rsidRDefault="004878E1" w:rsidP="007F3B6D">
      <w:pPr>
        <w:pStyle w:val="DPCbody"/>
        <w:spacing w:after="0"/>
        <w:rPr>
          <w:szCs w:val="20"/>
        </w:rPr>
      </w:pPr>
      <w:r w:rsidRPr="00AB218B">
        <w:rPr>
          <w:szCs w:val="20"/>
        </w:rPr>
        <w:t>Facsimile</w:t>
      </w:r>
      <w:r w:rsidRPr="00AB218B">
        <w:rPr>
          <w:szCs w:val="20"/>
        </w:rPr>
        <w:tab/>
      </w:r>
      <w:r w:rsidRPr="00AB218B">
        <w:rPr>
          <w:szCs w:val="20"/>
        </w:rPr>
        <w:tab/>
        <w:t>9651 9703</w:t>
      </w:r>
    </w:p>
    <w:p w:rsidR="004878E1" w:rsidRPr="00AB218B" w:rsidRDefault="004878E1" w:rsidP="007F3B6D">
      <w:pPr>
        <w:pStyle w:val="DPCbody"/>
        <w:spacing w:after="0"/>
        <w:rPr>
          <w:szCs w:val="20"/>
        </w:rPr>
      </w:pPr>
    </w:p>
    <w:p w:rsidR="004878E1" w:rsidRPr="00AB218B" w:rsidRDefault="004878E1" w:rsidP="007F3B6D">
      <w:pPr>
        <w:pStyle w:val="DPCbody"/>
        <w:spacing w:after="0"/>
        <w:rPr>
          <w:szCs w:val="20"/>
        </w:rPr>
      </w:pPr>
      <w:r w:rsidRPr="00AB218B">
        <w:rPr>
          <w:szCs w:val="20"/>
        </w:rPr>
        <w:t>Wage Inspectorate Victoria</w:t>
      </w:r>
    </w:p>
    <w:p w:rsidR="004878E1" w:rsidRPr="00AB218B" w:rsidRDefault="004878E1" w:rsidP="007F3B6D">
      <w:pPr>
        <w:pStyle w:val="DPCbody"/>
        <w:spacing w:after="0"/>
        <w:rPr>
          <w:szCs w:val="20"/>
        </w:rPr>
      </w:pPr>
      <w:r w:rsidRPr="00AB218B">
        <w:rPr>
          <w:szCs w:val="20"/>
        </w:rPr>
        <w:t xml:space="preserve">Department of </w:t>
      </w:r>
      <w:r>
        <w:rPr>
          <w:szCs w:val="20"/>
        </w:rPr>
        <w:t>Premier and Cabinet</w:t>
      </w:r>
    </w:p>
    <w:p w:rsidR="004878E1" w:rsidRPr="00AB218B" w:rsidRDefault="004878E1" w:rsidP="007F3B6D">
      <w:pPr>
        <w:pStyle w:val="DPCbody"/>
        <w:spacing w:after="0"/>
        <w:rPr>
          <w:szCs w:val="20"/>
        </w:rPr>
      </w:pPr>
      <w:r w:rsidRPr="00AB218B">
        <w:rPr>
          <w:szCs w:val="20"/>
        </w:rPr>
        <w:t>GPO Box 2392</w:t>
      </w:r>
    </w:p>
    <w:p w:rsidR="004878E1" w:rsidRPr="00AB218B" w:rsidRDefault="004878E1" w:rsidP="007F3B6D">
      <w:pPr>
        <w:pStyle w:val="DPCbody"/>
        <w:spacing w:after="0"/>
        <w:rPr>
          <w:szCs w:val="20"/>
        </w:rPr>
      </w:pPr>
      <w:r w:rsidRPr="00AB218B">
        <w:rPr>
          <w:szCs w:val="20"/>
        </w:rPr>
        <w:t>Melbourne VICTORIA 3001</w:t>
      </w:r>
    </w:p>
    <w:p w:rsidR="004878E1" w:rsidRPr="005E1115" w:rsidRDefault="004878E1" w:rsidP="004878E1">
      <w:pPr>
        <w:pStyle w:val="DPCbody"/>
        <w:rPr>
          <w:b/>
          <w:szCs w:val="20"/>
        </w:rPr>
      </w:pPr>
    </w:p>
    <w:p w:rsidR="004878E1" w:rsidRPr="007F3B6D" w:rsidRDefault="004878E1" w:rsidP="004878E1">
      <w:pPr>
        <w:pStyle w:val="DPCbody"/>
        <w:rPr>
          <w:rFonts w:ascii="Calibri" w:hAnsi="Calibri"/>
          <w:i/>
          <w:color w:val="7F7F7F" w:themeColor="text1" w:themeTint="80"/>
        </w:rPr>
      </w:pPr>
      <w:r w:rsidRPr="007F3B6D">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rsidR="004878E1" w:rsidRPr="007F3B6D" w:rsidRDefault="004878E1" w:rsidP="004878E1">
      <w:pPr>
        <w:pStyle w:val="DPCbody"/>
        <w:rPr>
          <w:i/>
          <w:color w:val="7F7F7F" w:themeColor="text1" w:themeTint="80"/>
          <w:sz w:val="24"/>
        </w:rPr>
        <w:sectPr w:rsidR="004878E1" w:rsidRPr="007F3B6D" w:rsidSect="00AD1740">
          <w:footerReference w:type="default" r:id="rId18"/>
          <w:headerReference w:type="first" r:id="rId19"/>
          <w:footerReference w:type="first" r:id="rId20"/>
          <w:type w:val="continuous"/>
          <w:pgSz w:w="11906" w:h="16838"/>
          <w:pgMar w:top="748" w:right="1440" w:bottom="1474" w:left="1440" w:header="1361" w:footer="567" w:gutter="0"/>
          <w:cols w:space="708"/>
          <w:docGrid w:linePitch="360"/>
        </w:sectPr>
      </w:pPr>
      <w:r w:rsidRPr="007F3B6D">
        <w:rPr>
          <w:i/>
          <w:color w:val="7F7F7F" w:themeColor="text1" w:themeTint="80"/>
        </w:rPr>
        <w:t xml:space="preserve">The State of Victoria, as represented by the Department of Premier and Cabinet and its employees, endeavours to keep information accurate and up to date, however, does not </w:t>
      </w:r>
      <w:r w:rsidRPr="007F3B6D">
        <w:rPr>
          <w:i/>
          <w:color w:val="7F7F7F" w:themeColor="text1" w:themeTint="80"/>
        </w:rPr>
        <w:lastRenderedPageBreak/>
        <w:t>guarantee the accuracy, reliability or currency of the material and disclaims all liability for any loss or damage caused directly or indirectly from or in connection with the use of or reliance upon the information contained within these documents.</w:t>
      </w:r>
    </w:p>
    <w:p w:rsidR="004878E1" w:rsidRPr="00D76013" w:rsidRDefault="004878E1" w:rsidP="00D76013">
      <w:pPr>
        <w:pStyle w:val="DPCbody"/>
        <w:spacing w:after="240"/>
        <w:rPr>
          <w:i/>
          <w:color w:val="7F7F7F" w:themeColor="text1" w:themeTint="80"/>
        </w:rPr>
      </w:pPr>
    </w:p>
    <w:sectPr w:rsidR="004878E1" w:rsidRPr="00D76013" w:rsidSect="001B5CC1">
      <w:headerReference w:type="default" r:id="rId21"/>
      <w:footerReference w:type="default" r:id="rId22"/>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E44" w:rsidRDefault="00291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60800"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E44" w:rsidRDefault="00291E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7682"/>
      <w:docPartObj>
        <w:docPartGallery w:val="Page Numbers (Bottom of Page)"/>
        <w:docPartUnique/>
      </w:docPartObj>
    </w:sdtPr>
    <w:sdtEndPr/>
    <w:sdtContent>
      <w:sdt>
        <w:sdtPr>
          <w:id w:val="1967229501"/>
          <w:docPartObj>
            <w:docPartGallery w:val="Page Numbers (Top of Page)"/>
            <w:docPartUnique/>
          </w:docPartObj>
        </w:sdtPr>
        <w:sdtEndPr/>
        <w:sdtContent>
          <w:p w:rsidR="004878E1" w:rsidRDefault="007F3B6D" w:rsidP="00C13DF9">
            <w:pPr>
              <w:pStyle w:val="Footer"/>
              <w:tabs>
                <w:tab w:val="right" w:pos="9072"/>
              </w:tabs>
              <w:jc w:val="center"/>
            </w:pPr>
            <w:r>
              <w:rPr>
                <w:noProof/>
                <w:lang w:eastAsia="en-AU"/>
              </w:rPr>
              <w:drawing>
                <wp:anchor distT="0" distB="0" distL="114300" distR="114300" simplePos="0" relativeHeight="251659776" behindDoc="1" locked="0" layoutInCell="0" allowOverlap="1" wp14:anchorId="2BE20F34" wp14:editId="1A6E19E8">
                  <wp:simplePos x="0" y="0"/>
                  <wp:positionH relativeFrom="page">
                    <wp:posOffset>-19050</wp:posOffset>
                  </wp:positionH>
                  <wp:positionV relativeFrom="page">
                    <wp:posOffset>9953625</wp:posOffset>
                  </wp:positionV>
                  <wp:extent cx="7559040" cy="502285"/>
                  <wp:effectExtent l="0" t="0" r="3810" b="0"/>
                  <wp:wrapNone/>
                  <wp:docPr id="2" name="Picture 2"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r w:rsidR="004878E1">
              <w:t>Long Service Leave Act 2018 - Fact Sheet</w:t>
            </w:r>
            <w:r>
              <w:t xml:space="preserve"> </w:t>
            </w:r>
            <w:r w:rsidR="00AD1740">
              <w:t>No. 1</w:t>
            </w:r>
            <w:r w:rsidR="004878E1">
              <w:tab/>
            </w:r>
          </w:p>
          <w:p w:rsidR="004878E1" w:rsidRPr="00F62A4A" w:rsidRDefault="004878E1" w:rsidP="00C13DF9">
            <w:pPr>
              <w:pStyle w:val="Footer"/>
              <w:tabs>
                <w:tab w:val="right" w:pos="9072"/>
              </w:tabs>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745D4D">
    <w:pPr>
      <w:pStyle w:val="Footer"/>
      <w:jc w:val="right"/>
    </w:pPr>
    <w:r>
      <w:rPr>
        <w:noProof/>
        <w:lang w:val="en-GB" w:eastAsia="en-GB"/>
      </w:rPr>
      <w:drawing>
        <wp:anchor distT="0" distB="0" distL="114300" distR="114300" simplePos="0" relativeHeight="251654144" behindDoc="1" locked="1" layoutInCell="0" allowOverlap="1" wp14:anchorId="4E793C37" wp14:editId="1C07FAAD">
          <wp:simplePos x="0" y="0"/>
          <wp:positionH relativeFrom="page">
            <wp:align>center</wp:align>
          </wp:positionH>
          <wp:positionV relativeFrom="page">
            <wp:align>bottom</wp:align>
          </wp:positionV>
          <wp:extent cx="7560000" cy="72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E44" w:rsidRDefault="00291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63360" behindDoc="0" locked="0" layoutInCell="0" allowOverlap="1" wp14:anchorId="3E077759" wp14:editId="3F7A572A">
          <wp:simplePos x="0" y="0"/>
          <wp:positionH relativeFrom="page">
            <wp:posOffset>0</wp:posOffset>
          </wp:positionH>
          <wp:positionV relativeFrom="page">
            <wp:posOffset>330835</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E44" w:rsidRDefault="00291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1F6527">
    <w:pPr>
      <w:pStyle w:val="infosheettitle"/>
    </w:pPr>
    <w:r>
      <w:rPr>
        <w:noProof/>
        <w:lang w:val="en-GB" w:eastAsia="en-GB"/>
      </w:rPr>
      <mc:AlternateContent>
        <mc:Choice Requires="wps">
          <w:drawing>
            <wp:anchor distT="0" distB="0" distL="114300" distR="114300" simplePos="0" relativeHeight="251659264" behindDoc="0" locked="0" layoutInCell="1" allowOverlap="1" wp14:anchorId="7EBC66F7" wp14:editId="1CC705B9">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66F7" id="_x0000_t202" coordsize="21600,21600" o:spt="202" path="m,l,21600r21600,l21600,xe">
              <v:stroke joinstyle="miter"/>
              <v:path gradientshapeok="t" o:connecttype="rect"/>
            </v:shapetype>
            <v:shape id="Text Box 7" o:spid="_x0000_s1026" type="#_x0000_t202" style="position:absolute;margin-left:-49pt;margin-top:-45.05pt;width:372.25pt;height:1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v:textbox>
            </v:shape>
          </w:pict>
        </mc:Fallback>
      </mc:AlternateContent>
    </w:r>
  </w:p>
  <w:p w:rsidR="004878E1" w:rsidRDefault="004878E1" w:rsidP="00A64BA9">
    <w:pPr>
      <w:pStyle w:val="infosheettitle"/>
    </w:pPr>
    <w:r>
      <w:rPr>
        <w:noProof/>
        <w:lang w:val="en-GB" w:eastAsia="en-GB"/>
      </w:rPr>
      <w:drawing>
        <wp:anchor distT="0" distB="0" distL="114300" distR="114300" simplePos="0" relativeHeight="251657216" behindDoc="1" locked="1" layoutInCell="0" allowOverlap="1" wp14:anchorId="1A334494" wp14:editId="3BDAA859">
          <wp:simplePos x="0" y="0"/>
          <wp:positionH relativeFrom="page">
            <wp:align>center</wp:align>
          </wp:positionH>
          <wp:positionV relativeFrom="page">
            <wp:align>top</wp:align>
          </wp:positionV>
          <wp:extent cx="7560000" cy="269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rsidR="004878E1" w:rsidRDefault="004878E1" w:rsidP="001F6527">
    <w:pPr>
      <w:pStyle w:val="infosheetsubtit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1"/>
  </w:num>
  <w:num w:numId="11">
    <w:abstractNumId w:val="7"/>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16F6F"/>
    <w:rsid w:val="00120BD3"/>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62F1"/>
    <w:rsid w:val="00290F7E"/>
    <w:rsid w:val="00291373"/>
    <w:rsid w:val="00291E44"/>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27EB2"/>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615"/>
    <w:rsid w:val="00BA31B6"/>
    <w:rsid w:val="00BA718C"/>
    <w:rsid w:val="00BB5CF9"/>
    <w:rsid w:val="00BB7A10"/>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ongserviceleave@dpc.vic.gov.au" TargetMode="External"/><Relationship Id="rId2" Type="http://schemas.openxmlformats.org/officeDocument/2006/relationships/numbering" Target="numbering.xml"/><Relationship Id="rId16" Type="http://schemas.openxmlformats.org/officeDocument/2006/relationships/hyperlink" Target="https://business.vic.gov.au/longserviceleav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usiness.vic.gov.au/longserviceleav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C578-0038-43C2-970E-CCBB9C64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3</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4659</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4</cp:revision>
  <cp:lastPrinted>2015-01-28T03:08:00Z</cp:lastPrinted>
  <dcterms:created xsi:type="dcterms:W3CDTF">2019-06-20T05:51:00Z</dcterms:created>
  <dcterms:modified xsi:type="dcterms:W3CDTF">2019-06-20T06:16:00Z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