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DC2A9" w14:textId="2DAA5339" w:rsidR="00FE5BB6" w:rsidRPr="00D9016A" w:rsidRDefault="00F75F4E" w:rsidP="009661F4">
      <w:r>
        <w:rPr>
          <w:noProof/>
          <w:lang w:val="en-GB"/>
        </w:rPr>
        <mc:AlternateContent>
          <mc:Choice Requires="wps">
            <w:drawing>
              <wp:anchor distT="0" distB="0" distL="114300" distR="114300" simplePos="0" relativeHeight="251658240" behindDoc="0" locked="1" layoutInCell="1" allowOverlap="1" wp14:anchorId="57BD635E" wp14:editId="7A478553">
                <wp:simplePos x="0" y="0"/>
                <wp:positionH relativeFrom="margin">
                  <wp:align>left</wp:align>
                </wp:positionH>
                <wp:positionV relativeFrom="margin">
                  <wp:posOffset>-83820</wp:posOffset>
                </wp:positionV>
                <wp:extent cx="5800725" cy="1097915"/>
                <wp:effectExtent l="0" t="0" r="9525" b="12700"/>
                <wp:wrapTopAndBottom/>
                <wp:docPr id="132" name="Text Box 132"/>
                <wp:cNvGraphicFramePr/>
                <a:graphic xmlns:a="http://schemas.openxmlformats.org/drawingml/2006/main">
                  <a:graphicData uri="http://schemas.microsoft.com/office/word/2010/wordprocessingShape">
                    <wps:wsp>
                      <wps:cNvSpPr txBox="1"/>
                      <wps:spPr>
                        <a:xfrm>
                          <a:off x="0" y="0"/>
                          <a:ext cx="5800725" cy="1097915"/>
                        </a:xfrm>
                        <a:prstGeom prst="rect">
                          <a:avLst/>
                        </a:prstGeom>
                        <a:noFill/>
                        <a:ln w="6350">
                          <a:noFill/>
                        </a:ln>
                      </wps:spPr>
                      <wps:txbx>
                        <w:txbxContent>
                          <w:p w14:paraId="1B61D0AE" w14:textId="77777777" w:rsidR="00F75F4E" w:rsidRPr="0083585E" w:rsidRDefault="00F75F4E" w:rsidP="0061072A">
                            <w:pPr>
                              <w:pStyle w:val="Subtitle"/>
                              <w:spacing w:before="0"/>
                              <w:rPr>
                                <w:color w:val="201547" w:themeColor="text2"/>
                              </w:rPr>
                            </w:pPr>
                            <w:r w:rsidRPr="0083585E">
                              <w:rPr>
                                <w:color w:val="201547" w:themeColor="text2"/>
                                <w:lang w:val="en-GB"/>
                              </w:rPr>
                              <w:t xml:space="preserve">Tourism and </w:t>
                            </w:r>
                            <w:r w:rsidR="002D730C">
                              <w:rPr>
                                <w:color w:val="201547" w:themeColor="text2"/>
                                <w:lang w:val="en-GB"/>
                              </w:rPr>
                              <w:t xml:space="preserve">Events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7BD635E" id="_x0000_t202" coordsize="21600,21600" o:spt="202" path="m,l,21600r21600,l21600,xe">
                <v:stroke joinstyle="miter"/>
                <v:path gradientshapeok="t" o:connecttype="rect"/>
              </v:shapetype>
              <v:shape id="Text Box 132" o:spid="_x0000_s1026" type="#_x0000_t202" style="position:absolute;margin-left:0;margin-top:-6.6pt;width:456.75pt;height:86.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" filled="f" stroked="f" strokeweight=".5pt">
                <v:textbox style="mso-fit-shape-to-text:t" inset="0,0,0,0">
                  <w:txbxContent>
                    <w:p w14:paraId="1B61D0AE" w14:textId="77777777" w:rsidR="00F75F4E" w:rsidRPr="0083585E" w:rsidRDefault="00F75F4E" w:rsidP="0061072A">
                      <w:pPr>
                        <w:pStyle w:val="Subtitle"/>
                        <w:spacing w:before="0"/>
                        <w:rPr>
                          <w:color w:val="201547" w:themeColor="text2"/>
                        </w:rPr>
                      </w:pPr>
                      <w:r w:rsidRPr="0083585E">
                        <w:rPr>
                          <w:color w:val="201547" w:themeColor="text2"/>
                          <w:lang w:val="en-GB"/>
                        </w:rPr>
                        <w:t xml:space="preserve">Tourism and </w:t>
                      </w:r>
                      <w:r w:rsidR="002D730C">
                        <w:rPr>
                          <w:color w:val="201547" w:themeColor="text2"/>
                          <w:lang w:val="en-GB"/>
                        </w:rPr>
                        <w:t xml:space="preserve">Events </w:t>
                      </w:r>
                    </w:p>
                  </w:txbxContent>
                </v:textbox>
                <w10:wrap type="topAndBottom" anchorx="margin" anchory="margin"/>
                <w10:anchorlock/>
              </v:shape>
            </w:pict>
          </mc:Fallback>
        </mc:AlternateContent>
      </w:r>
      <w:r w:rsidR="009661F4">
        <w:rPr>
          <w:noProof/>
        </w:rPr>
        <mc:AlternateContent>
          <mc:Choice Requires="wps">
            <w:drawing>
              <wp:anchor distT="0" distB="0" distL="114300" distR="114300" simplePos="0" relativeHeight="251658241" behindDoc="0" locked="1" layoutInCell="1" allowOverlap="1" wp14:anchorId="0A4FDAC5" wp14:editId="3E03440C">
                <wp:simplePos x="0" y="0"/>
                <wp:positionH relativeFrom="margin">
                  <wp:posOffset>-5715</wp:posOffset>
                </wp:positionH>
                <wp:positionV relativeFrom="margin">
                  <wp:posOffset>3383280</wp:posOffset>
                </wp:positionV>
                <wp:extent cx="5829300" cy="5033010"/>
                <wp:effectExtent l="0" t="0" r="0" b="15240"/>
                <wp:wrapNone/>
                <wp:docPr id="139" name="Text Box 139"/>
                <wp:cNvGraphicFramePr/>
                <a:graphic xmlns:a="http://schemas.openxmlformats.org/drawingml/2006/main">
                  <a:graphicData uri="http://schemas.microsoft.com/office/word/2010/wordprocessingShape">
                    <wps:wsp>
                      <wps:cNvSpPr txBox="1"/>
                      <wps:spPr>
                        <a:xfrm>
                          <a:off x="0" y="0"/>
                          <a:ext cx="5829300" cy="5033010"/>
                        </a:xfrm>
                        <a:prstGeom prst="rect">
                          <a:avLst/>
                        </a:prstGeom>
                        <a:noFill/>
                        <a:ln w="6350">
                          <a:noFill/>
                        </a:ln>
                      </wps:spPr>
                      <wps:txbx>
                        <w:txbxContent>
                          <w:p w14:paraId="486B2FFA" w14:textId="5A812F80" w:rsidR="001D55F0" w:rsidRPr="00362705" w:rsidRDefault="001D55F0" w:rsidP="009661F4">
                            <w:pPr>
                              <w:pStyle w:val="Reporttitle"/>
                              <w:rPr>
                                <w:caps/>
                                <w:sz w:val="96"/>
                                <w:szCs w:val="18"/>
                              </w:rPr>
                            </w:pPr>
                            <w:r w:rsidRPr="00362705">
                              <w:rPr>
                                <w:caps/>
                                <w:sz w:val="96"/>
                                <w:szCs w:val="18"/>
                              </w:rPr>
                              <w:t xml:space="preserve">small and medium events </w:t>
                            </w:r>
                          </w:p>
                          <w:p w14:paraId="23982619" w14:textId="65109684" w:rsidR="009661F4" w:rsidRPr="00362705" w:rsidRDefault="001D55F0" w:rsidP="009661F4">
                            <w:pPr>
                              <w:pStyle w:val="Reporttitle"/>
                              <w:rPr>
                                <w:caps/>
                                <w:sz w:val="96"/>
                                <w:szCs w:val="18"/>
                                <w14:textFill>
                                  <w14:noFill/>
                                </w14:textFill>
                              </w:rPr>
                            </w:pPr>
                            <w:r w:rsidRPr="00362705">
                              <w:rPr>
                                <w:caps/>
                                <w:sz w:val="96"/>
                                <w:szCs w:val="18"/>
                              </w:rPr>
                              <w:t>program guidelines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FDAC5" id="Text Box 139" o:spid="_x0000_s1027" type="#_x0000_t202" style="position:absolute;margin-left:-.45pt;margin-top:266.4pt;width:459pt;height:396.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" filled="f" stroked="f" strokeweight=".5pt">
                <v:textbox inset="0,0,0,0">
                  <w:txbxContent>
                    <w:p w14:paraId="486B2FFA" w14:textId="5A812F80" w:rsidR="001D55F0" w:rsidRPr="00362705" w:rsidRDefault="001D55F0" w:rsidP="009661F4">
                      <w:pPr>
                        <w:pStyle w:val="Reporttitle"/>
                        <w:rPr>
                          <w:caps/>
                          <w:sz w:val="96"/>
                          <w:szCs w:val="18"/>
                        </w:rPr>
                      </w:pPr>
                      <w:r w:rsidRPr="00362705">
                        <w:rPr>
                          <w:caps/>
                          <w:sz w:val="96"/>
                          <w:szCs w:val="18"/>
                        </w:rPr>
                        <w:t xml:space="preserve">small and medium events </w:t>
                      </w:r>
                    </w:p>
                    <w:p w14:paraId="23982619" w14:textId="65109684" w:rsidR="009661F4" w:rsidRPr="00362705" w:rsidRDefault="001D55F0" w:rsidP="009661F4">
                      <w:pPr>
                        <w:pStyle w:val="Reporttitle"/>
                        <w:rPr>
                          <w:caps/>
                          <w:sz w:val="96"/>
                          <w:szCs w:val="18"/>
                          <w14:textFill>
                            <w14:noFill/>
                          </w14:textFill>
                        </w:rPr>
                      </w:pPr>
                      <w:r w:rsidRPr="00362705">
                        <w:rPr>
                          <w:caps/>
                          <w:sz w:val="96"/>
                          <w:szCs w:val="18"/>
                        </w:rPr>
                        <w:t>program guidelines</w:t>
                      </w:r>
                    </w:p>
                  </w:txbxContent>
                </v:textbox>
                <w10:wrap anchorx="margin" anchory="margin"/>
                <w10:anchorlock/>
              </v:shape>
            </w:pict>
          </mc:Fallback>
        </mc:AlternateContent>
      </w:r>
    </w:p>
    <w:p w14:paraId="7721C534" w14:textId="77777777" w:rsidR="001A3498" w:rsidRPr="00D9016A" w:rsidRDefault="001A3498" w:rsidP="006B45F1">
      <w:pPr>
        <w:sectPr w:rsidR="001A3498" w:rsidRPr="00D9016A" w:rsidSect="000A0FAC">
          <w:headerReference w:type="default" r:id="rId12"/>
          <w:footerReference w:type="default" r:id="rId13"/>
          <w:headerReference w:type="first" r:id="rId14"/>
          <w:footerReference w:type="first" r:id="rId15"/>
          <w:type w:val="continuous"/>
          <w:pgSz w:w="11906" w:h="16838" w:code="9"/>
          <w:pgMar w:top="1134" w:right="2977" w:bottom="822" w:left="1134" w:header="709" w:footer="136" w:gutter="0"/>
          <w:pgNumType w:fmt="lowerRoman" w:start="0"/>
          <w:cols w:space="708"/>
          <w:titlePg/>
          <w:docGrid w:linePitch="360"/>
        </w:sectPr>
      </w:pPr>
    </w:p>
    <w:p w14:paraId="659746BD" w14:textId="77777777" w:rsidR="004371F6" w:rsidRPr="00703A5B" w:rsidRDefault="004371F6" w:rsidP="006B45F1">
      <w:pPr>
        <w:pStyle w:val="TOCHeading"/>
        <w:rPr>
          <w:rStyle w:val="Hyperlink"/>
          <w:color w:val="000000" w:themeColor="text1"/>
          <w:u w:val="none"/>
        </w:rPr>
      </w:pPr>
      <w:r w:rsidRPr="00703A5B">
        <w:lastRenderedPageBreak/>
        <w:t>Table of contents</w:t>
      </w:r>
    </w:p>
    <w:p w14:paraId="15357F7E" w14:textId="65C2D1D8" w:rsidR="00930F75" w:rsidRDefault="00A17119">
      <w:pPr>
        <w:pStyle w:val="TOC1"/>
        <w:rPr>
          <w:rFonts w:asciiTheme="minorHAnsi" w:eastAsiaTheme="minorEastAsia" w:hAnsiTheme="minorHAnsi" w:cstheme="minorBidi"/>
          <w:b w:val="0"/>
          <w:noProof/>
          <w:color w:val="auto"/>
          <w:sz w:val="22"/>
          <w:szCs w:val="22"/>
          <w:lang w:eastAsia="en-AU"/>
        </w:rPr>
      </w:pPr>
      <w:r w:rsidRPr="00D9016A">
        <w:rPr>
          <w:noProof/>
          <w:lang w:eastAsia="en-AU"/>
        </w:rPr>
        <w:fldChar w:fldCharType="begin"/>
      </w:r>
      <w:r w:rsidRPr="00D9016A">
        <w:rPr>
          <w:noProof/>
          <w:lang w:eastAsia="en-AU"/>
        </w:rPr>
        <w:instrText xml:space="preserve"> TOC \o "1-3" \h \z \u </w:instrText>
      </w:r>
      <w:r w:rsidRPr="00D9016A">
        <w:rPr>
          <w:noProof/>
          <w:lang w:eastAsia="en-AU"/>
        </w:rPr>
        <w:fldChar w:fldCharType="separate"/>
      </w:r>
      <w:hyperlink w:anchor="_Toc126049413" w:history="1">
        <w:r w:rsidR="00930F75" w:rsidRPr="00165AF7">
          <w:rPr>
            <w:rStyle w:val="Hyperlink"/>
            <w:noProof/>
          </w:rPr>
          <w:t>1</w:t>
        </w:r>
        <w:r w:rsidR="00930F75">
          <w:rPr>
            <w:rFonts w:asciiTheme="minorHAnsi" w:eastAsiaTheme="minorEastAsia" w:hAnsiTheme="minorHAnsi" w:cstheme="minorBidi"/>
            <w:b w:val="0"/>
            <w:noProof/>
            <w:color w:val="auto"/>
            <w:sz w:val="22"/>
            <w:szCs w:val="22"/>
            <w:lang w:eastAsia="en-AU"/>
          </w:rPr>
          <w:tab/>
        </w:r>
        <w:r w:rsidR="00930F75" w:rsidRPr="00165AF7">
          <w:rPr>
            <w:rStyle w:val="Hyperlink"/>
            <w:noProof/>
          </w:rPr>
          <w:t>Program Summary</w:t>
        </w:r>
        <w:r w:rsidR="00930F75">
          <w:rPr>
            <w:noProof/>
            <w:webHidden/>
          </w:rPr>
          <w:tab/>
        </w:r>
        <w:r w:rsidR="00930F75">
          <w:rPr>
            <w:noProof/>
            <w:webHidden/>
          </w:rPr>
          <w:fldChar w:fldCharType="begin"/>
        </w:r>
        <w:r w:rsidR="00930F75">
          <w:rPr>
            <w:noProof/>
            <w:webHidden/>
          </w:rPr>
          <w:instrText xml:space="preserve"> PAGEREF _Toc126049413 \h </w:instrText>
        </w:r>
        <w:r w:rsidR="00930F75">
          <w:rPr>
            <w:noProof/>
            <w:webHidden/>
          </w:rPr>
        </w:r>
        <w:r w:rsidR="00930F75">
          <w:rPr>
            <w:noProof/>
            <w:webHidden/>
          </w:rPr>
          <w:fldChar w:fldCharType="separate"/>
        </w:r>
        <w:r w:rsidR="005030D5">
          <w:rPr>
            <w:noProof/>
            <w:webHidden/>
          </w:rPr>
          <w:t>2</w:t>
        </w:r>
        <w:r w:rsidR="00930F75">
          <w:rPr>
            <w:noProof/>
            <w:webHidden/>
          </w:rPr>
          <w:fldChar w:fldCharType="end"/>
        </w:r>
      </w:hyperlink>
    </w:p>
    <w:p w14:paraId="4068B2B4" w14:textId="7B580F27" w:rsidR="00930F75" w:rsidRDefault="00A50A63">
      <w:pPr>
        <w:pStyle w:val="TOC2"/>
        <w:rPr>
          <w:rFonts w:asciiTheme="minorHAnsi" w:eastAsiaTheme="minorEastAsia" w:hAnsiTheme="minorHAnsi" w:cstheme="minorBidi"/>
          <w:noProof/>
          <w:color w:val="auto"/>
          <w:sz w:val="22"/>
          <w:szCs w:val="22"/>
          <w:lang w:eastAsia="en-AU"/>
        </w:rPr>
      </w:pPr>
      <w:hyperlink w:anchor="_Toc126049414" w:history="1">
        <w:r w:rsidR="00930F75" w:rsidRPr="00165AF7">
          <w:rPr>
            <w:rStyle w:val="Hyperlink"/>
            <w:noProof/>
          </w:rPr>
          <w:t>1.1</w:t>
        </w:r>
        <w:r w:rsidR="00930F75">
          <w:rPr>
            <w:rFonts w:asciiTheme="minorHAnsi" w:eastAsiaTheme="minorEastAsia" w:hAnsiTheme="minorHAnsi" w:cstheme="minorBidi"/>
            <w:noProof/>
            <w:color w:val="auto"/>
            <w:sz w:val="22"/>
            <w:szCs w:val="22"/>
            <w:lang w:eastAsia="en-AU"/>
          </w:rPr>
          <w:tab/>
        </w:r>
        <w:r w:rsidR="00930F75" w:rsidRPr="00165AF7">
          <w:rPr>
            <w:rStyle w:val="Hyperlink"/>
            <w:noProof/>
          </w:rPr>
          <w:t>Program context</w:t>
        </w:r>
        <w:r w:rsidR="00930F75">
          <w:rPr>
            <w:noProof/>
            <w:webHidden/>
          </w:rPr>
          <w:tab/>
        </w:r>
        <w:r w:rsidR="00930F75">
          <w:rPr>
            <w:noProof/>
            <w:webHidden/>
          </w:rPr>
          <w:fldChar w:fldCharType="begin"/>
        </w:r>
        <w:r w:rsidR="00930F75">
          <w:rPr>
            <w:noProof/>
            <w:webHidden/>
          </w:rPr>
          <w:instrText xml:space="preserve"> PAGEREF _Toc126049414 \h </w:instrText>
        </w:r>
        <w:r w:rsidR="00930F75">
          <w:rPr>
            <w:noProof/>
            <w:webHidden/>
          </w:rPr>
        </w:r>
        <w:r w:rsidR="00930F75">
          <w:rPr>
            <w:noProof/>
            <w:webHidden/>
          </w:rPr>
          <w:fldChar w:fldCharType="separate"/>
        </w:r>
        <w:r w:rsidR="005030D5">
          <w:rPr>
            <w:noProof/>
            <w:webHidden/>
          </w:rPr>
          <w:t>2</w:t>
        </w:r>
        <w:r w:rsidR="00930F75">
          <w:rPr>
            <w:noProof/>
            <w:webHidden/>
          </w:rPr>
          <w:fldChar w:fldCharType="end"/>
        </w:r>
      </w:hyperlink>
    </w:p>
    <w:p w14:paraId="0B9C8A7F" w14:textId="475D22BA" w:rsidR="00930F75" w:rsidRDefault="00A50A63">
      <w:pPr>
        <w:pStyle w:val="TOC2"/>
        <w:rPr>
          <w:rFonts w:asciiTheme="minorHAnsi" w:eastAsiaTheme="minorEastAsia" w:hAnsiTheme="minorHAnsi" w:cstheme="minorBidi"/>
          <w:noProof/>
          <w:color w:val="auto"/>
          <w:sz w:val="22"/>
          <w:szCs w:val="22"/>
          <w:lang w:eastAsia="en-AU"/>
        </w:rPr>
      </w:pPr>
      <w:hyperlink w:anchor="_Toc126049415" w:history="1">
        <w:r w:rsidR="00930F75" w:rsidRPr="00165AF7">
          <w:rPr>
            <w:rStyle w:val="Hyperlink"/>
            <w:noProof/>
          </w:rPr>
          <w:t>1.2</w:t>
        </w:r>
        <w:r w:rsidR="00930F75">
          <w:rPr>
            <w:rFonts w:asciiTheme="minorHAnsi" w:eastAsiaTheme="minorEastAsia" w:hAnsiTheme="minorHAnsi" w:cstheme="minorBidi"/>
            <w:noProof/>
            <w:color w:val="auto"/>
            <w:sz w:val="22"/>
            <w:szCs w:val="22"/>
            <w:lang w:eastAsia="en-AU"/>
          </w:rPr>
          <w:tab/>
        </w:r>
        <w:r w:rsidR="00930F75" w:rsidRPr="00165AF7">
          <w:rPr>
            <w:rStyle w:val="Hyperlink"/>
            <w:noProof/>
          </w:rPr>
          <w:t>Program objectives and outcomes</w:t>
        </w:r>
        <w:r w:rsidR="00930F75">
          <w:rPr>
            <w:noProof/>
            <w:webHidden/>
          </w:rPr>
          <w:tab/>
        </w:r>
        <w:r w:rsidR="00930F75">
          <w:rPr>
            <w:noProof/>
            <w:webHidden/>
          </w:rPr>
          <w:fldChar w:fldCharType="begin"/>
        </w:r>
        <w:r w:rsidR="00930F75">
          <w:rPr>
            <w:noProof/>
            <w:webHidden/>
          </w:rPr>
          <w:instrText xml:space="preserve"> PAGEREF _Toc126049415 \h </w:instrText>
        </w:r>
        <w:r w:rsidR="00930F75">
          <w:rPr>
            <w:noProof/>
            <w:webHidden/>
          </w:rPr>
        </w:r>
        <w:r w:rsidR="00930F75">
          <w:rPr>
            <w:noProof/>
            <w:webHidden/>
          </w:rPr>
          <w:fldChar w:fldCharType="separate"/>
        </w:r>
        <w:r w:rsidR="005030D5">
          <w:rPr>
            <w:noProof/>
            <w:webHidden/>
          </w:rPr>
          <w:t>2</w:t>
        </w:r>
        <w:r w:rsidR="00930F75">
          <w:rPr>
            <w:noProof/>
            <w:webHidden/>
          </w:rPr>
          <w:fldChar w:fldCharType="end"/>
        </w:r>
      </w:hyperlink>
    </w:p>
    <w:p w14:paraId="0F79DB38" w14:textId="2C9D348F" w:rsidR="00930F75" w:rsidRDefault="00A50A63">
      <w:pPr>
        <w:pStyle w:val="TOC1"/>
        <w:rPr>
          <w:rFonts w:asciiTheme="minorHAnsi" w:eastAsiaTheme="minorEastAsia" w:hAnsiTheme="minorHAnsi" w:cstheme="minorBidi"/>
          <w:b w:val="0"/>
          <w:noProof/>
          <w:color w:val="auto"/>
          <w:sz w:val="22"/>
          <w:szCs w:val="22"/>
          <w:lang w:eastAsia="en-AU"/>
        </w:rPr>
      </w:pPr>
      <w:hyperlink w:anchor="_Toc126049416" w:history="1">
        <w:r w:rsidR="00930F75" w:rsidRPr="00165AF7">
          <w:rPr>
            <w:rStyle w:val="Hyperlink"/>
            <w:noProof/>
          </w:rPr>
          <w:t>2</w:t>
        </w:r>
        <w:r w:rsidR="00930F75">
          <w:rPr>
            <w:rFonts w:asciiTheme="minorHAnsi" w:eastAsiaTheme="minorEastAsia" w:hAnsiTheme="minorHAnsi" w:cstheme="minorBidi"/>
            <w:b w:val="0"/>
            <w:noProof/>
            <w:color w:val="auto"/>
            <w:sz w:val="22"/>
            <w:szCs w:val="22"/>
            <w:lang w:eastAsia="en-AU"/>
          </w:rPr>
          <w:tab/>
        </w:r>
        <w:r w:rsidR="00930F75" w:rsidRPr="00165AF7">
          <w:rPr>
            <w:rStyle w:val="Hyperlink"/>
            <w:noProof/>
          </w:rPr>
          <w:t>Program dates</w:t>
        </w:r>
        <w:r w:rsidR="00930F75">
          <w:rPr>
            <w:noProof/>
            <w:webHidden/>
          </w:rPr>
          <w:tab/>
        </w:r>
        <w:r w:rsidR="00930F75">
          <w:rPr>
            <w:noProof/>
            <w:webHidden/>
          </w:rPr>
          <w:fldChar w:fldCharType="begin"/>
        </w:r>
        <w:r w:rsidR="00930F75">
          <w:rPr>
            <w:noProof/>
            <w:webHidden/>
          </w:rPr>
          <w:instrText xml:space="preserve"> PAGEREF _Toc126049416 \h </w:instrText>
        </w:r>
        <w:r w:rsidR="00930F75">
          <w:rPr>
            <w:noProof/>
            <w:webHidden/>
          </w:rPr>
        </w:r>
        <w:r w:rsidR="00930F75">
          <w:rPr>
            <w:noProof/>
            <w:webHidden/>
          </w:rPr>
          <w:fldChar w:fldCharType="separate"/>
        </w:r>
        <w:r w:rsidR="005030D5">
          <w:rPr>
            <w:noProof/>
            <w:webHidden/>
          </w:rPr>
          <w:t>3</w:t>
        </w:r>
        <w:r w:rsidR="00930F75">
          <w:rPr>
            <w:noProof/>
            <w:webHidden/>
          </w:rPr>
          <w:fldChar w:fldCharType="end"/>
        </w:r>
      </w:hyperlink>
    </w:p>
    <w:p w14:paraId="50DBA5D8" w14:textId="6EAD450E" w:rsidR="00930F75" w:rsidRDefault="00A50A63">
      <w:pPr>
        <w:pStyle w:val="TOC1"/>
        <w:rPr>
          <w:rFonts w:asciiTheme="minorHAnsi" w:eastAsiaTheme="minorEastAsia" w:hAnsiTheme="minorHAnsi" w:cstheme="minorBidi"/>
          <w:b w:val="0"/>
          <w:noProof/>
          <w:color w:val="auto"/>
          <w:sz w:val="22"/>
          <w:szCs w:val="22"/>
          <w:lang w:eastAsia="en-AU"/>
        </w:rPr>
      </w:pPr>
      <w:hyperlink w:anchor="_Toc126049417" w:history="1">
        <w:r w:rsidR="00930F75" w:rsidRPr="00165AF7">
          <w:rPr>
            <w:rStyle w:val="Hyperlink"/>
            <w:noProof/>
          </w:rPr>
          <w:t>3</w:t>
        </w:r>
        <w:r w:rsidR="00930F75">
          <w:rPr>
            <w:rFonts w:asciiTheme="minorHAnsi" w:eastAsiaTheme="minorEastAsia" w:hAnsiTheme="minorHAnsi" w:cstheme="minorBidi"/>
            <w:b w:val="0"/>
            <w:noProof/>
            <w:color w:val="auto"/>
            <w:sz w:val="22"/>
            <w:szCs w:val="22"/>
            <w:lang w:eastAsia="en-AU"/>
          </w:rPr>
          <w:tab/>
        </w:r>
        <w:r w:rsidR="00930F75" w:rsidRPr="00165AF7">
          <w:rPr>
            <w:rStyle w:val="Hyperlink"/>
            <w:noProof/>
          </w:rPr>
          <w:t>Available Funding</w:t>
        </w:r>
        <w:r w:rsidR="00930F75">
          <w:rPr>
            <w:noProof/>
            <w:webHidden/>
          </w:rPr>
          <w:tab/>
        </w:r>
        <w:r w:rsidR="00930F75">
          <w:rPr>
            <w:noProof/>
            <w:webHidden/>
          </w:rPr>
          <w:fldChar w:fldCharType="begin"/>
        </w:r>
        <w:r w:rsidR="00930F75">
          <w:rPr>
            <w:noProof/>
            <w:webHidden/>
          </w:rPr>
          <w:instrText xml:space="preserve"> PAGEREF _Toc126049417 \h </w:instrText>
        </w:r>
        <w:r w:rsidR="00930F75">
          <w:rPr>
            <w:noProof/>
            <w:webHidden/>
          </w:rPr>
        </w:r>
        <w:r w:rsidR="00930F75">
          <w:rPr>
            <w:noProof/>
            <w:webHidden/>
          </w:rPr>
          <w:fldChar w:fldCharType="separate"/>
        </w:r>
        <w:r w:rsidR="005030D5">
          <w:rPr>
            <w:noProof/>
            <w:webHidden/>
          </w:rPr>
          <w:t>4</w:t>
        </w:r>
        <w:r w:rsidR="00930F75">
          <w:rPr>
            <w:noProof/>
            <w:webHidden/>
          </w:rPr>
          <w:fldChar w:fldCharType="end"/>
        </w:r>
      </w:hyperlink>
    </w:p>
    <w:p w14:paraId="157639A5" w14:textId="771B8F19" w:rsidR="00930F75" w:rsidRDefault="00A50A63">
      <w:pPr>
        <w:pStyle w:val="TOC2"/>
        <w:rPr>
          <w:rFonts w:asciiTheme="minorHAnsi" w:eastAsiaTheme="minorEastAsia" w:hAnsiTheme="minorHAnsi" w:cstheme="minorBidi"/>
          <w:noProof/>
          <w:color w:val="auto"/>
          <w:sz w:val="22"/>
          <w:szCs w:val="22"/>
          <w:lang w:eastAsia="en-AU"/>
        </w:rPr>
      </w:pPr>
      <w:hyperlink w:anchor="_Toc126049418" w:history="1">
        <w:r w:rsidR="00930F75" w:rsidRPr="00165AF7">
          <w:rPr>
            <w:rStyle w:val="Hyperlink"/>
            <w:noProof/>
          </w:rPr>
          <w:t>3.1</w:t>
        </w:r>
        <w:r w:rsidR="00930F75">
          <w:rPr>
            <w:rFonts w:asciiTheme="minorHAnsi" w:eastAsiaTheme="minorEastAsia" w:hAnsiTheme="minorHAnsi" w:cstheme="minorBidi"/>
            <w:noProof/>
            <w:color w:val="auto"/>
            <w:sz w:val="22"/>
            <w:szCs w:val="22"/>
            <w:lang w:eastAsia="en-AU"/>
          </w:rPr>
          <w:tab/>
        </w:r>
        <w:r w:rsidR="00930F75" w:rsidRPr="00165AF7">
          <w:rPr>
            <w:rStyle w:val="Hyperlink"/>
            <w:noProof/>
          </w:rPr>
          <w:t>Funding from other sources and the grant amount</w:t>
        </w:r>
        <w:r w:rsidR="00930F75">
          <w:rPr>
            <w:noProof/>
            <w:webHidden/>
          </w:rPr>
          <w:tab/>
        </w:r>
        <w:r w:rsidR="00930F75">
          <w:rPr>
            <w:noProof/>
            <w:webHidden/>
          </w:rPr>
          <w:fldChar w:fldCharType="begin"/>
        </w:r>
        <w:r w:rsidR="00930F75">
          <w:rPr>
            <w:noProof/>
            <w:webHidden/>
          </w:rPr>
          <w:instrText xml:space="preserve"> PAGEREF _Toc126049418 \h </w:instrText>
        </w:r>
        <w:r w:rsidR="00930F75">
          <w:rPr>
            <w:noProof/>
            <w:webHidden/>
          </w:rPr>
        </w:r>
        <w:r w:rsidR="00930F75">
          <w:rPr>
            <w:noProof/>
            <w:webHidden/>
          </w:rPr>
          <w:fldChar w:fldCharType="separate"/>
        </w:r>
        <w:r w:rsidR="005030D5">
          <w:rPr>
            <w:noProof/>
            <w:webHidden/>
          </w:rPr>
          <w:t>4</w:t>
        </w:r>
        <w:r w:rsidR="00930F75">
          <w:rPr>
            <w:noProof/>
            <w:webHidden/>
          </w:rPr>
          <w:fldChar w:fldCharType="end"/>
        </w:r>
      </w:hyperlink>
    </w:p>
    <w:p w14:paraId="738E312D" w14:textId="77A6EFC1" w:rsidR="00930F75" w:rsidRDefault="00A50A63">
      <w:pPr>
        <w:pStyle w:val="TOC1"/>
        <w:rPr>
          <w:rFonts w:asciiTheme="minorHAnsi" w:eastAsiaTheme="minorEastAsia" w:hAnsiTheme="minorHAnsi" w:cstheme="minorBidi"/>
          <w:b w:val="0"/>
          <w:noProof/>
          <w:color w:val="auto"/>
          <w:sz w:val="22"/>
          <w:szCs w:val="22"/>
          <w:lang w:eastAsia="en-AU"/>
        </w:rPr>
      </w:pPr>
      <w:hyperlink w:anchor="_Toc126049419" w:history="1">
        <w:r w:rsidR="00930F75" w:rsidRPr="00165AF7">
          <w:rPr>
            <w:rStyle w:val="Hyperlink"/>
            <w:noProof/>
          </w:rPr>
          <w:t>4</w:t>
        </w:r>
        <w:r w:rsidR="00930F75">
          <w:rPr>
            <w:rFonts w:asciiTheme="minorHAnsi" w:eastAsiaTheme="minorEastAsia" w:hAnsiTheme="minorHAnsi" w:cstheme="minorBidi"/>
            <w:b w:val="0"/>
            <w:noProof/>
            <w:color w:val="auto"/>
            <w:sz w:val="22"/>
            <w:szCs w:val="22"/>
            <w:lang w:eastAsia="en-AU"/>
          </w:rPr>
          <w:tab/>
        </w:r>
        <w:r w:rsidR="00930F75" w:rsidRPr="00165AF7">
          <w:rPr>
            <w:rStyle w:val="Hyperlink"/>
            <w:noProof/>
          </w:rPr>
          <w:t>Eligibility Criteria</w:t>
        </w:r>
        <w:r w:rsidR="00930F75">
          <w:rPr>
            <w:noProof/>
            <w:webHidden/>
          </w:rPr>
          <w:tab/>
        </w:r>
        <w:r w:rsidR="00930F75">
          <w:rPr>
            <w:noProof/>
            <w:webHidden/>
          </w:rPr>
          <w:fldChar w:fldCharType="begin"/>
        </w:r>
        <w:r w:rsidR="00930F75">
          <w:rPr>
            <w:noProof/>
            <w:webHidden/>
          </w:rPr>
          <w:instrText xml:space="preserve"> PAGEREF _Toc126049419 \h </w:instrText>
        </w:r>
        <w:r w:rsidR="00930F75">
          <w:rPr>
            <w:noProof/>
            <w:webHidden/>
          </w:rPr>
        </w:r>
        <w:r w:rsidR="00930F75">
          <w:rPr>
            <w:noProof/>
            <w:webHidden/>
          </w:rPr>
          <w:fldChar w:fldCharType="separate"/>
        </w:r>
        <w:r w:rsidR="005030D5">
          <w:rPr>
            <w:noProof/>
            <w:webHidden/>
          </w:rPr>
          <w:t>5</w:t>
        </w:r>
        <w:r w:rsidR="00930F75">
          <w:rPr>
            <w:noProof/>
            <w:webHidden/>
          </w:rPr>
          <w:fldChar w:fldCharType="end"/>
        </w:r>
      </w:hyperlink>
    </w:p>
    <w:p w14:paraId="31017B11" w14:textId="312E7736" w:rsidR="00930F75" w:rsidRDefault="00A50A63">
      <w:pPr>
        <w:pStyle w:val="TOC2"/>
        <w:rPr>
          <w:rFonts w:asciiTheme="minorHAnsi" w:eastAsiaTheme="minorEastAsia" w:hAnsiTheme="minorHAnsi" w:cstheme="minorBidi"/>
          <w:noProof/>
          <w:color w:val="auto"/>
          <w:sz w:val="22"/>
          <w:szCs w:val="22"/>
          <w:lang w:eastAsia="en-AU"/>
        </w:rPr>
      </w:pPr>
      <w:hyperlink w:anchor="_Toc126049420" w:history="1">
        <w:r w:rsidR="00930F75" w:rsidRPr="00165AF7">
          <w:rPr>
            <w:rStyle w:val="Hyperlink"/>
            <w:noProof/>
          </w:rPr>
          <w:t>4.1</w:t>
        </w:r>
        <w:r w:rsidR="00930F75">
          <w:rPr>
            <w:rFonts w:asciiTheme="minorHAnsi" w:eastAsiaTheme="minorEastAsia" w:hAnsiTheme="minorHAnsi" w:cstheme="minorBidi"/>
            <w:noProof/>
            <w:color w:val="auto"/>
            <w:sz w:val="22"/>
            <w:szCs w:val="22"/>
            <w:lang w:eastAsia="en-AU"/>
          </w:rPr>
          <w:tab/>
        </w:r>
        <w:r w:rsidR="00930F75" w:rsidRPr="00165AF7">
          <w:rPr>
            <w:rStyle w:val="Hyperlink"/>
            <w:noProof/>
          </w:rPr>
          <w:t>Eligible applicants</w:t>
        </w:r>
        <w:r w:rsidR="00930F75">
          <w:rPr>
            <w:noProof/>
            <w:webHidden/>
          </w:rPr>
          <w:tab/>
        </w:r>
        <w:r w:rsidR="00930F75">
          <w:rPr>
            <w:noProof/>
            <w:webHidden/>
          </w:rPr>
          <w:fldChar w:fldCharType="begin"/>
        </w:r>
        <w:r w:rsidR="00930F75">
          <w:rPr>
            <w:noProof/>
            <w:webHidden/>
          </w:rPr>
          <w:instrText xml:space="preserve"> PAGEREF _Toc126049420 \h </w:instrText>
        </w:r>
        <w:r w:rsidR="00930F75">
          <w:rPr>
            <w:noProof/>
            <w:webHidden/>
          </w:rPr>
        </w:r>
        <w:r w:rsidR="00930F75">
          <w:rPr>
            <w:noProof/>
            <w:webHidden/>
          </w:rPr>
          <w:fldChar w:fldCharType="separate"/>
        </w:r>
        <w:r w:rsidR="005030D5">
          <w:rPr>
            <w:noProof/>
            <w:webHidden/>
          </w:rPr>
          <w:t>5</w:t>
        </w:r>
        <w:r w:rsidR="00930F75">
          <w:rPr>
            <w:noProof/>
            <w:webHidden/>
          </w:rPr>
          <w:fldChar w:fldCharType="end"/>
        </w:r>
      </w:hyperlink>
    </w:p>
    <w:p w14:paraId="20DB0E6C" w14:textId="418E7969" w:rsidR="00930F75" w:rsidRDefault="00A50A63">
      <w:pPr>
        <w:pStyle w:val="TOC2"/>
        <w:rPr>
          <w:rFonts w:asciiTheme="minorHAnsi" w:eastAsiaTheme="minorEastAsia" w:hAnsiTheme="minorHAnsi" w:cstheme="minorBidi"/>
          <w:noProof/>
          <w:color w:val="auto"/>
          <w:sz w:val="22"/>
          <w:szCs w:val="22"/>
          <w:lang w:eastAsia="en-AU"/>
        </w:rPr>
      </w:pPr>
      <w:hyperlink w:anchor="_Toc126049421" w:history="1">
        <w:r w:rsidR="00930F75" w:rsidRPr="00165AF7">
          <w:rPr>
            <w:rStyle w:val="Hyperlink"/>
            <w:noProof/>
          </w:rPr>
          <w:t>4.2</w:t>
        </w:r>
        <w:r w:rsidR="00930F75">
          <w:rPr>
            <w:rFonts w:asciiTheme="minorHAnsi" w:eastAsiaTheme="minorEastAsia" w:hAnsiTheme="minorHAnsi" w:cstheme="minorBidi"/>
            <w:noProof/>
            <w:color w:val="auto"/>
            <w:sz w:val="22"/>
            <w:szCs w:val="22"/>
            <w:lang w:eastAsia="en-AU"/>
          </w:rPr>
          <w:tab/>
        </w:r>
        <w:r w:rsidR="00930F75" w:rsidRPr="00165AF7">
          <w:rPr>
            <w:rStyle w:val="Hyperlink"/>
            <w:noProof/>
          </w:rPr>
          <w:t>Ineligible applicants</w:t>
        </w:r>
        <w:r w:rsidR="00930F75">
          <w:rPr>
            <w:noProof/>
            <w:webHidden/>
          </w:rPr>
          <w:tab/>
        </w:r>
        <w:r w:rsidR="00930F75">
          <w:rPr>
            <w:noProof/>
            <w:webHidden/>
          </w:rPr>
          <w:fldChar w:fldCharType="begin"/>
        </w:r>
        <w:r w:rsidR="00930F75">
          <w:rPr>
            <w:noProof/>
            <w:webHidden/>
          </w:rPr>
          <w:instrText xml:space="preserve"> PAGEREF _Toc126049421 \h </w:instrText>
        </w:r>
        <w:r w:rsidR="00930F75">
          <w:rPr>
            <w:noProof/>
            <w:webHidden/>
          </w:rPr>
        </w:r>
        <w:r w:rsidR="00930F75">
          <w:rPr>
            <w:noProof/>
            <w:webHidden/>
          </w:rPr>
          <w:fldChar w:fldCharType="separate"/>
        </w:r>
        <w:r w:rsidR="005030D5">
          <w:rPr>
            <w:noProof/>
            <w:webHidden/>
          </w:rPr>
          <w:t>5</w:t>
        </w:r>
        <w:r w:rsidR="00930F75">
          <w:rPr>
            <w:noProof/>
            <w:webHidden/>
          </w:rPr>
          <w:fldChar w:fldCharType="end"/>
        </w:r>
      </w:hyperlink>
    </w:p>
    <w:p w14:paraId="0EC51782" w14:textId="2004ACD2" w:rsidR="00930F75" w:rsidRDefault="00A50A63">
      <w:pPr>
        <w:pStyle w:val="TOC2"/>
        <w:rPr>
          <w:rFonts w:asciiTheme="minorHAnsi" w:eastAsiaTheme="minorEastAsia" w:hAnsiTheme="minorHAnsi" w:cstheme="minorBidi"/>
          <w:noProof/>
          <w:color w:val="auto"/>
          <w:sz w:val="22"/>
          <w:szCs w:val="22"/>
          <w:lang w:eastAsia="en-AU"/>
        </w:rPr>
      </w:pPr>
      <w:hyperlink w:anchor="_Toc126049422" w:history="1">
        <w:r w:rsidR="00930F75" w:rsidRPr="00165AF7">
          <w:rPr>
            <w:rStyle w:val="Hyperlink"/>
            <w:noProof/>
          </w:rPr>
          <w:t>4.3</w:t>
        </w:r>
        <w:r w:rsidR="00930F75">
          <w:rPr>
            <w:rFonts w:asciiTheme="minorHAnsi" w:eastAsiaTheme="minorEastAsia" w:hAnsiTheme="minorHAnsi" w:cstheme="minorBidi"/>
            <w:noProof/>
            <w:color w:val="auto"/>
            <w:sz w:val="22"/>
            <w:szCs w:val="22"/>
            <w:lang w:eastAsia="en-AU"/>
          </w:rPr>
          <w:tab/>
        </w:r>
        <w:r w:rsidR="00930F75" w:rsidRPr="00165AF7">
          <w:rPr>
            <w:rStyle w:val="Hyperlink"/>
            <w:noProof/>
          </w:rPr>
          <w:t>Event eligibility</w:t>
        </w:r>
        <w:r w:rsidR="00930F75">
          <w:rPr>
            <w:noProof/>
            <w:webHidden/>
          </w:rPr>
          <w:tab/>
        </w:r>
        <w:r w:rsidR="00930F75">
          <w:rPr>
            <w:noProof/>
            <w:webHidden/>
          </w:rPr>
          <w:fldChar w:fldCharType="begin"/>
        </w:r>
        <w:r w:rsidR="00930F75">
          <w:rPr>
            <w:noProof/>
            <w:webHidden/>
          </w:rPr>
          <w:instrText xml:space="preserve"> PAGEREF _Toc126049422 \h </w:instrText>
        </w:r>
        <w:r w:rsidR="00930F75">
          <w:rPr>
            <w:noProof/>
            <w:webHidden/>
          </w:rPr>
        </w:r>
        <w:r w:rsidR="00930F75">
          <w:rPr>
            <w:noProof/>
            <w:webHidden/>
          </w:rPr>
          <w:fldChar w:fldCharType="separate"/>
        </w:r>
        <w:r w:rsidR="005030D5">
          <w:rPr>
            <w:noProof/>
            <w:webHidden/>
          </w:rPr>
          <w:t>5</w:t>
        </w:r>
        <w:r w:rsidR="00930F75">
          <w:rPr>
            <w:noProof/>
            <w:webHidden/>
          </w:rPr>
          <w:fldChar w:fldCharType="end"/>
        </w:r>
      </w:hyperlink>
    </w:p>
    <w:p w14:paraId="3A239AA3" w14:textId="72D480A8" w:rsidR="00930F75" w:rsidRDefault="00A50A63">
      <w:pPr>
        <w:pStyle w:val="TOC2"/>
        <w:rPr>
          <w:rFonts w:asciiTheme="minorHAnsi" w:eastAsiaTheme="minorEastAsia" w:hAnsiTheme="minorHAnsi" w:cstheme="minorBidi"/>
          <w:noProof/>
          <w:color w:val="auto"/>
          <w:sz w:val="22"/>
          <w:szCs w:val="22"/>
          <w:lang w:eastAsia="en-AU"/>
        </w:rPr>
      </w:pPr>
      <w:hyperlink w:anchor="_Toc126049423" w:history="1">
        <w:r w:rsidR="00930F75" w:rsidRPr="00165AF7">
          <w:rPr>
            <w:rStyle w:val="Hyperlink"/>
            <w:noProof/>
          </w:rPr>
          <w:t>4.4</w:t>
        </w:r>
        <w:r w:rsidR="00930F75">
          <w:rPr>
            <w:rFonts w:asciiTheme="minorHAnsi" w:eastAsiaTheme="minorEastAsia" w:hAnsiTheme="minorHAnsi" w:cstheme="minorBidi"/>
            <w:noProof/>
            <w:color w:val="auto"/>
            <w:sz w:val="22"/>
            <w:szCs w:val="22"/>
            <w:lang w:eastAsia="en-AU"/>
          </w:rPr>
          <w:tab/>
        </w:r>
        <w:r w:rsidR="00930F75" w:rsidRPr="00165AF7">
          <w:rPr>
            <w:rStyle w:val="Hyperlink"/>
            <w:noProof/>
          </w:rPr>
          <w:t>Eligible areas</w:t>
        </w:r>
        <w:r w:rsidR="00930F75">
          <w:rPr>
            <w:noProof/>
            <w:webHidden/>
          </w:rPr>
          <w:tab/>
        </w:r>
        <w:r w:rsidR="00930F75">
          <w:rPr>
            <w:noProof/>
            <w:webHidden/>
          </w:rPr>
          <w:fldChar w:fldCharType="begin"/>
        </w:r>
        <w:r w:rsidR="00930F75">
          <w:rPr>
            <w:noProof/>
            <w:webHidden/>
          </w:rPr>
          <w:instrText xml:space="preserve"> PAGEREF _Toc126049423 \h </w:instrText>
        </w:r>
        <w:r w:rsidR="00930F75">
          <w:rPr>
            <w:noProof/>
            <w:webHidden/>
          </w:rPr>
        </w:r>
        <w:r w:rsidR="00930F75">
          <w:rPr>
            <w:noProof/>
            <w:webHidden/>
          </w:rPr>
          <w:fldChar w:fldCharType="separate"/>
        </w:r>
        <w:r w:rsidR="005030D5">
          <w:rPr>
            <w:noProof/>
            <w:webHidden/>
          </w:rPr>
          <w:t>6</w:t>
        </w:r>
        <w:r w:rsidR="00930F75">
          <w:rPr>
            <w:noProof/>
            <w:webHidden/>
          </w:rPr>
          <w:fldChar w:fldCharType="end"/>
        </w:r>
      </w:hyperlink>
    </w:p>
    <w:p w14:paraId="02F032D7" w14:textId="2DC6EADF" w:rsidR="00930F75" w:rsidRDefault="00A50A63">
      <w:pPr>
        <w:pStyle w:val="TOC2"/>
        <w:rPr>
          <w:rFonts w:asciiTheme="minorHAnsi" w:eastAsiaTheme="minorEastAsia" w:hAnsiTheme="minorHAnsi" w:cstheme="minorBidi"/>
          <w:noProof/>
          <w:color w:val="auto"/>
          <w:sz w:val="22"/>
          <w:szCs w:val="22"/>
          <w:lang w:eastAsia="en-AU"/>
        </w:rPr>
      </w:pPr>
      <w:hyperlink w:anchor="_Toc126049424" w:history="1">
        <w:r w:rsidR="00930F75" w:rsidRPr="00165AF7">
          <w:rPr>
            <w:rStyle w:val="Hyperlink"/>
            <w:noProof/>
          </w:rPr>
          <w:t>4.5</w:t>
        </w:r>
        <w:r w:rsidR="00930F75">
          <w:rPr>
            <w:rFonts w:asciiTheme="minorHAnsi" w:eastAsiaTheme="minorEastAsia" w:hAnsiTheme="minorHAnsi" w:cstheme="minorBidi"/>
            <w:noProof/>
            <w:color w:val="auto"/>
            <w:sz w:val="22"/>
            <w:szCs w:val="22"/>
            <w:lang w:eastAsia="en-AU"/>
          </w:rPr>
          <w:tab/>
        </w:r>
        <w:r w:rsidR="00930F75" w:rsidRPr="00165AF7">
          <w:rPr>
            <w:rStyle w:val="Hyperlink"/>
            <w:noProof/>
          </w:rPr>
          <w:t>Ineligible event types</w:t>
        </w:r>
        <w:r w:rsidR="00930F75">
          <w:rPr>
            <w:noProof/>
            <w:webHidden/>
          </w:rPr>
          <w:tab/>
        </w:r>
        <w:r w:rsidR="00930F75">
          <w:rPr>
            <w:noProof/>
            <w:webHidden/>
          </w:rPr>
          <w:fldChar w:fldCharType="begin"/>
        </w:r>
        <w:r w:rsidR="00930F75">
          <w:rPr>
            <w:noProof/>
            <w:webHidden/>
          </w:rPr>
          <w:instrText xml:space="preserve"> PAGEREF _Toc126049424 \h </w:instrText>
        </w:r>
        <w:r w:rsidR="00930F75">
          <w:rPr>
            <w:noProof/>
            <w:webHidden/>
          </w:rPr>
        </w:r>
        <w:r w:rsidR="00930F75">
          <w:rPr>
            <w:noProof/>
            <w:webHidden/>
          </w:rPr>
          <w:fldChar w:fldCharType="separate"/>
        </w:r>
        <w:r w:rsidR="005030D5">
          <w:rPr>
            <w:noProof/>
            <w:webHidden/>
          </w:rPr>
          <w:t>6</w:t>
        </w:r>
        <w:r w:rsidR="00930F75">
          <w:rPr>
            <w:noProof/>
            <w:webHidden/>
          </w:rPr>
          <w:fldChar w:fldCharType="end"/>
        </w:r>
      </w:hyperlink>
    </w:p>
    <w:p w14:paraId="53DB0A7E" w14:textId="3B9C4403" w:rsidR="00930F75" w:rsidRDefault="00A50A63">
      <w:pPr>
        <w:pStyle w:val="TOC2"/>
        <w:rPr>
          <w:rFonts w:asciiTheme="minorHAnsi" w:eastAsiaTheme="minorEastAsia" w:hAnsiTheme="minorHAnsi" w:cstheme="minorBidi"/>
          <w:noProof/>
          <w:color w:val="auto"/>
          <w:sz w:val="22"/>
          <w:szCs w:val="22"/>
          <w:lang w:eastAsia="en-AU"/>
        </w:rPr>
      </w:pPr>
      <w:hyperlink w:anchor="_Toc126049425" w:history="1">
        <w:r w:rsidR="00930F75" w:rsidRPr="00165AF7">
          <w:rPr>
            <w:rStyle w:val="Hyperlink"/>
            <w:noProof/>
          </w:rPr>
          <w:t>4.6</w:t>
        </w:r>
        <w:r w:rsidR="00930F75">
          <w:rPr>
            <w:rFonts w:asciiTheme="minorHAnsi" w:eastAsiaTheme="minorEastAsia" w:hAnsiTheme="minorHAnsi" w:cstheme="minorBidi"/>
            <w:noProof/>
            <w:color w:val="auto"/>
            <w:sz w:val="22"/>
            <w:szCs w:val="22"/>
            <w:lang w:eastAsia="en-AU"/>
          </w:rPr>
          <w:tab/>
        </w:r>
        <w:r w:rsidR="00930F75" w:rsidRPr="00165AF7">
          <w:rPr>
            <w:rStyle w:val="Hyperlink"/>
            <w:noProof/>
          </w:rPr>
          <w:t>Eligible activities/expenses</w:t>
        </w:r>
        <w:r w:rsidR="00930F75">
          <w:rPr>
            <w:noProof/>
            <w:webHidden/>
          </w:rPr>
          <w:tab/>
        </w:r>
        <w:r w:rsidR="00930F75">
          <w:rPr>
            <w:noProof/>
            <w:webHidden/>
          </w:rPr>
          <w:fldChar w:fldCharType="begin"/>
        </w:r>
        <w:r w:rsidR="00930F75">
          <w:rPr>
            <w:noProof/>
            <w:webHidden/>
          </w:rPr>
          <w:instrText xml:space="preserve"> PAGEREF _Toc126049425 \h </w:instrText>
        </w:r>
        <w:r w:rsidR="00930F75">
          <w:rPr>
            <w:noProof/>
            <w:webHidden/>
          </w:rPr>
        </w:r>
        <w:r w:rsidR="00930F75">
          <w:rPr>
            <w:noProof/>
            <w:webHidden/>
          </w:rPr>
          <w:fldChar w:fldCharType="separate"/>
        </w:r>
        <w:r w:rsidR="005030D5">
          <w:rPr>
            <w:noProof/>
            <w:webHidden/>
          </w:rPr>
          <w:t>7</w:t>
        </w:r>
        <w:r w:rsidR="00930F75">
          <w:rPr>
            <w:noProof/>
            <w:webHidden/>
          </w:rPr>
          <w:fldChar w:fldCharType="end"/>
        </w:r>
      </w:hyperlink>
    </w:p>
    <w:p w14:paraId="152E59F2" w14:textId="51E4889B" w:rsidR="00930F75" w:rsidRDefault="00A50A63">
      <w:pPr>
        <w:pStyle w:val="TOC2"/>
        <w:rPr>
          <w:rFonts w:asciiTheme="minorHAnsi" w:eastAsiaTheme="minorEastAsia" w:hAnsiTheme="minorHAnsi" w:cstheme="minorBidi"/>
          <w:noProof/>
          <w:color w:val="auto"/>
          <w:sz w:val="22"/>
          <w:szCs w:val="22"/>
          <w:lang w:eastAsia="en-AU"/>
        </w:rPr>
      </w:pPr>
      <w:hyperlink w:anchor="_Toc126049426" w:history="1">
        <w:r w:rsidR="00930F75" w:rsidRPr="00165AF7">
          <w:rPr>
            <w:rStyle w:val="Hyperlink"/>
            <w:noProof/>
          </w:rPr>
          <w:t>4.7</w:t>
        </w:r>
        <w:r w:rsidR="00930F75">
          <w:rPr>
            <w:rFonts w:asciiTheme="minorHAnsi" w:eastAsiaTheme="minorEastAsia" w:hAnsiTheme="minorHAnsi" w:cstheme="minorBidi"/>
            <w:noProof/>
            <w:color w:val="auto"/>
            <w:sz w:val="22"/>
            <w:szCs w:val="22"/>
            <w:lang w:eastAsia="en-AU"/>
          </w:rPr>
          <w:tab/>
        </w:r>
        <w:r w:rsidR="00930F75" w:rsidRPr="00165AF7">
          <w:rPr>
            <w:rStyle w:val="Hyperlink"/>
            <w:noProof/>
          </w:rPr>
          <w:t>Ineligible activities/expenses</w:t>
        </w:r>
        <w:r w:rsidR="00930F75">
          <w:rPr>
            <w:noProof/>
            <w:webHidden/>
          </w:rPr>
          <w:tab/>
        </w:r>
        <w:r w:rsidR="00930F75">
          <w:rPr>
            <w:noProof/>
            <w:webHidden/>
          </w:rPr>
          <w:fldChar w:fldCharType="begin"/>
        </w:r>
        <w:r w:rsidR="00930F75">
          <w:rPr>
            <w:noProof/>
            <w:webHidden/>
          </w:rPr>
          <w:instrText xml:space="preserve"> PAGEREF _Toc126049426 \h </w:instrText>
        </w:r>
        <w:r w:rsidR="00930F75">
          <w:rPr>
            <w:noProof/>
            <w:webHidden/>
          </w:rPr>
        </w:r>
        <w:r w:rsidR="00930F75">
          <w:rPr>
            <w:noProof/>
            <w:webHidden/>
          </w:rPr>
          <w:fldChar w:fldCharType="separate"/>
        </w:r>
        <w:r w:rsidR="005030D5">
          <w:rPr>
            <w:noProof/>
            <w:webHidden/>
          </w:rPr>
          <w:t>7</w:t>
        </w:r>
        <w:r w:rsidR="00930F75">
          <w:rPr>
            <w:noProof/>
            <w:webHidden/>
          </w:rPr>
          <w:fldChar w:fldCharType="end"/>
        </w:r>
      </w:hyperlink>
    </w:p>
    <w:p w14:paraId="2E3D5F0C" w14:textId="4DA95EBD" w:rsidR="00930F75" w:rsidRDefault="00A50A63">
      <w:pPr>
        <w:pStyle w:val="TOC1"/>
        <w:rPr>
          <w:rFonts w:asciiTheme="minorHAnsi" w:eastAsiaTheme="minorEastAsia" w:hAnsiTheme="minorHAnsi" w:cstheme="minorBidi"/>
          <w:b w:val="0"/>
          <w:noProof/>
          <w:color w:val="auto"/>
          <w:sz w:val="22"/>
          <w:szCs w:val="22"/>
          <w:lang w:eastAsia="en-AU"/>
        </w:rPr>
      </w:pPr>
      <w:hyperlink w:anchor="_Toc126049427" w:history="1">
        <w:r w:rsidR="00930F75" w:rsidRPr="00165AF7">
          <w:rPr>
            <w:rStyle w:val="Hyperlink"/>
            <w:noProof/>
          </w:rPr>
          <w:t>5</w:t>
        </w:r>
        <w:r w:rsidR="00930F75">
          <w:rPr>
            <w:rFonts w:asciiTheme="minorHAnsi" w:eastAsiaTheme="minorEastAsia" w:hAnsiTheme="minorHAnsi" w:cstheme="minorBidi"/>
            <w:b w:val="0"/>
            <w:noProof/>
            <w:color w:val="auto"/>
            <w:sz w:val="22"/>
            <w:szCs w:val="22"/>
            <w:lang w:eastAsia="en-AU"/>
          </w:rPr>
          <w:tab/>
        </w:r>
        <w:r w:rsidR="00930F75" w:rsidRPr="00165AF7">
          <w:rPr>
            <w:rStyle w:val="Hyperlink"/>
            <w:noProof/>
          </w:rPr>
          <w:t>Assessment Process</w:t>
        </w:r>
        <w:r w:rsidR="00930F75">
          <w:rPr>
            <w:noProof/>
            <w:webHidden/>
          </w:rPr>
          <w:tab/>
        </w:r>
        <w:r w:rsidR="00930F75">
          <w:rPr>
            <w:noProof/>
            <w:webHidden/>
          </w:rPr>
          <w:fldChar w:fldCharType="begin"/>
        </w:r>
        <w:r w:rsidR="00930F75">
          <w:rPr>
            <w:noProof/>
            <w:webHidden/>
          </w:rPr>
          <w:instrText xml:space="preserve"> PAGEREF _Toc126049427 \h </w:instrText>
        </w:r>
        <w:r w:rsidR="00930F75">
          <w:rPr>
            <w:noProof/>
            <w:webHidden/>
          </w:rPr>
        </w:r>
        <w:r w:rsidR="00930F75">
          <w:rPr>
            <w:noProof/>
            <w:webHidden/>
          </w:rPr>
          <w:fldChar w:fldCharType="separate"/>
        </w:r>
        <w:r w:rsidR="005030D5">
          <w:rPr>
            <w:noProof/>
            <w:webHidden/>
          </w:rPr>
          <w:t>8</w:t>
        </w:r>
        <w:r w:rsidR="00930F75">
          <w:rPr>
            <w:noProof/>
            <w:webHidden/>
          </w:rPr>
          <w:fldChar w:fldCharType="end"/>
        </w:r>
      </w:hyperlink>
    </w:p>
    <w:p w14:paraId="037429CD" w14:textId="3A0F606B" w:rsidR="00930F75" w:rsidRDefault="00A50A63">
      <w:pPr>
        <w:pStyle w:val="TOC2"/>
        <w:rPr>
          <w:rFonts w:asciiTheme="minorHAnsi" w:eastAsiaTheme="minorEastAsia" w:hAnsiTheme="minorHAnsi" w:cstheme="minorBidi"/>
          <w:noProof/>
          <w:color w:val="auto"/>
          <w:sz w:val="22"/>
          <w:szCs w:val="22"/>
          <w:lang w:eastAsia="en-AU"/>
        </w:rPr>
      </w:pPr>
      <w:hyperlink w:anchor="_Toc126049428" w:history="1">
        <w:r w:rsidR="00930F75" w:rsidRPr="00165AF7">
          <w:rPr>
            <w:rStyle w:val="Hyperlink"/>
            <w:noProof/>
          </w:rPr>
          <w:t>5.1</w:t>
        </w:r>
        <w:r w:rsidR="00930F75">
          <w:rPr>
            <w:rFonts w:asciiTheme="minorHAnsi" w:eastAsiaTheme="minorEastAsia" w:hAnsiTheme="minorHAnsi" w:cstheme="minorBidi"/>
            <w:noProof/>
            <w:color w:val="auto"/>
            <w:sz w:val="22"/>
            <w:szCs w:val="22"/>
            <w:lang w:eastAsia="en-AU"/>
          </w:rPr>
          <w:tab/>
        </w:r>
        <w:r w:rsidR="00930F75" w:rsidRPr="00165AF7">
          <w:rPr>
            <w:rStyle w:val="Hyperlink"/>
            <w:noProof/>
          </w:rPr>
          <w:t>Assessment criteria</w:t>
        </w:r>
        <w:r w:rsidR="00930F75">
          <w:rPr>
            <w:noProof/>
            <w:webHidden/>
          </w:rPr>
          <w:tab/>
        </w:r>
        <w:r w:rsidR="00930F75">
          <w:rPr>
            <w:noProof/>
            <w:webHidden/>
          </w:rPr>
          <w:fldChar w:fldCharType="begin"/>
        </w:r>
        <w:r w:rsidR="00930F75">
          <w:rPr>
            <w:noProof/>
            <w:webHidden/>
          </w:rPr>
          <w:instrText xml:space="preserve"> PAGEREF _Toc126049428 \h </w:instrText>
        </w:r>
        <w:r w:rsidR="00930F75">
          <w:rPr>
            <w:noProof/>
            <w:webHidden/>
          </w:rPr>
        </w:r>
        <w:r w:rsidR="00930F75">
          <w:rPr>
            <w:noProof/>
            <w:webHidden/>
          </w:rPr>
          <w:fldChar w:fldCharType="separate"/>
        </w:r>
        <w:r w:rsidR="005030D5">
          <w:rPr>
            <w:noProof/>
            <w:webHidden/>
          </w:rPr>
          <w:t>8</w:t>
        </w:r>
        <w:r w:rsidR="00930F75">
          <w:rPr>
            <w:noProof/>
            <w:webHidden/>
          </w:rPr>
          <w:fldChar w:fldCharType="end"/>
        </w:r>
      </w:hyperlink>
    </w:p>
    <w:p w14:paraId="1A745A2B" w14:textId="4B16B4F7" w:rsidR="00930F75" w:rsidRDefault="00A50A63">
      <w:pPr>
        <w:pStyle w:val="TOC2"/>
        <w:rPr>
          <w:rFonts w:asciiTheme="minorHAnsi" w:eastAsiaTheme="minorEastAsia" w:hAnsiTheme="minorHAnsi" w:cstheme="minorBidi"/>
          <w:noProof/>
          <w:color w:val="auto"/>
          <w:sz w:val="22"/>
          <w:szCs w:val="22"/>
          <w:lang w:eastAsia="en-AU"/>
        </w:rPr>
      </w:pPr>
      <w:hyperlink w:anchor="_Toc126049429" w:history="1">
        <w:r w:rsidR="00930F75" w:rsidRPr="00165AF7">
          <w:rPr>
            <w:rStyle w:val="Hyperlink"/>
            <w:noProof/>
          </w:rPr>
          <w:t>5.2</w:t>
        </w:r>
        <w:r w:rsidR="00930F75">
          <w:rPr>
            <w:rFonts w:asciiTheme="minorHAnsi" w:eastAsiaTheme="minorEastAsia" w:hAnsiTheme="minorHAnsi" w:cstheme="minorBidi"/>
            <w:noProof/>
            <w:color w:val="auto"/>
            <w:sz w:val="22"/>
            <w:szCs w:val="22"/>
            <w:lang w:eastAsia="en-AU"/>
          </w:rPr>
          <w:tab/>
        </w:r>
        <w:r w:rsidR="00930F75" w:rsidRPr="00165AF7">
          <w:rPr>
            <w:rStyle w:val="Hyperlink"/>
            <w:noProof/>
          </w:rPr>
          <w:t>Due Diligence Assessments</w:t>
        </w:r>
        <w:r w:rsidR="00930F75">
          <w:rPr>
            <w:noProof/>
            <w:webHidden/>
          </w:rPr>
          <w:tab/>
        </w:r>
        <w:r w:rsidR="00930F75">
          <w:rPr>
            <w:noProof/>
            <w:webHidden/>
          </w:rPr>
          <w:fldChar w:fldCharType="begin"/>
        </w:r>
        <w:r w:rsidR="00930F75">
          <w:rPr>
            <w:noProof/>
            <w:webHidden/>
          </w:rPr>
          <w:instrText xml:space="preserve"> PAGEREF _Toc126049429 \h </w:instrText>
        </w:r>
        <w:r w:rsidR="00930F75">
          <w:rPr>
            <w:noProof/>
            <w:webHidden/>
          </w:rPr>
        </w:r>
        <w:r w:rsidR="00930F75">
          <w:rPr>
            <w:noProof/>
            <w:webHidden/>
          </w:rPr>
          <w:fldChar w:fldCharType="separate"/>
        </w:r>
        <w:r w:rsidR="005030D5">
          <w:rPr>
            <w:noProof/>
            <w:webHidden/>
          </w:rPr>
          <w:t>9</w:t>
        </w:r>
        <w:r w:rsidR="00930F75">
          <w:rPr>
            <w:noProof/>
            <w:webHidden/>
          </w:rPr>
          <w:fldChar w:fldCharType="end"/>
        </w:r>
      </w:hyperlink>
    </w:p>
    <w:p w14:paraId="7CB3DC0A" w14:textId="67FBC1BE" w:rsidR="00930F75" w:rsidRDefault="00A50A63">
      <w:pPr>
        <w:pStyle w:val="TOC1"/>
        <w:rPr>
          <w:rFonts w:asciiTheme="minorHAnsi" w:eastAsiaTheme="minorEastAsia" w:hAnsiTheme="minorHAnsi" w:cstheme="minorBidi"/>
          <w:b w:val="0"/>
          <w:noProof/>
          <w:color w:val="auto"/>
          <w:sz w:val="22"/>
          <w:szCs w:val="22"/>
          <w:lang w:eastAsia="en-AU"/>
        </w:rPr>
      </w:pPr>
      <w:hyperlink w:anchor="_Toc126049430" w:history="1">
        <w:r w:rsidR="00930F75" w:rsidRPr="00165AF7">
          <w:rPr>
            <w:rStyle w:val="Hyperlink"/>
            <w:noProof/>
          </w:rPr>
          <w:t>6</w:t>
        </w:r>
        <w:r w:rsidR="00930F75">
          <w:rPr>
            <w:rFonts w:asciiTheme="minorHAnsi" w:eastAsiaTheme="minorEastAsia" w:hAnsiTheme="minorHAnsi" w:cstheme="minorBidi"/>
            <w:b w:val="0"/>
            <w:noProof/>
            <w:color w:val="auto"/>
            <w:sz w:val="22"/>
            <w:szCs w:val="22"/>
            <w:lang w:eastAsia="en-AU"/>
          </w:rPr>
          <w:tab/>
        </w:r>
        <w:r w:rsidR="00930F75" w:rsidRPr="00165AF7">
          <w:rPr>
            <w:rStyle w:val="Hyperlink"/>
            <w:noProof/>
          </w:rPr>
          <w:t>Application Process</w:t>
        </w:r>
        <w:r w:rsidR="00930F75">
          <w:rPr>
            <w:noProof/>
            <w:webHidden/>
          </w:rPr>
          <w:tab/>
        </w:r>
        <w:r w:rsidR="00930F75">
          <w:rPr>
            <w:noProof/>
            <w:webHidden/>
          </w:rPr>
          <w:fldChar w:fldCharType="begin"/>
        </w:r>
        <w:r w:rsidR="00930F75">
          <w:rPr>
            <w:noProof/>
            <w:webHidden/>
          </w:rPr>
          <w:instrText xml:space="preserve"> PAGEREF _Toc126049430 \h </w:instrText>
        </w:r>
        <w:r w:rsidR="00930F75">
          <w:rPr>
            <w:noProof/>
            <w:webHidden/>
          </w:rPr>
        </w:r>
        <w:r w:rsidR="00930F75">
          <w:rPr>
            <w:noProof/>
            <w:webHidden/>
          </w:rPr>
          <w:fldChar w:fldCharType="separate"/>
        </w:r>
        <w:r w:rsidR="005030D5">
          <w:rPr>
            <w:noProof/>
            <w:webHidden/>
          </w:rPr>
          <w:t>10</w:t>
        </w:r>
        <w:r w:rsidR="00930F75">
          <w:rPr>
            <w:noProof/>
            <w:webHidden/>
          </w:rPr>
          <w:fldChar w:fldCharType="end"/>
        </w:r>
      </w:hyperlink>
    </w:p>
    <w:p w14:paraId="1B0D6339" w14:textId="1EBD695A" w:rsidR="00930F75" w:rsidRDefault="00A50A63">
      <w:pPr>
        <w:pStyle w:val="TOC2"/>
        <w:rPr>
          <w:rFonts w:asciiTheme="minorHAnsi" w:eastAsiaTheme="minorEastAsia" w:hAnsiTheme="minorHAnsi" w:cstheme="minorBidi"/>
          <w:noProof/>
          <w:color w:val="auto"/>
          <w:sz w:val="22"/>
          <w:szCs w:val="22"/>
          <w:lang w:eastAsia="en-AU"/>
        </w:rPr>
      </w:pPr>
      <w:hyperlink w:anchor="_Toc126049431" w:history="1">
        <w:r w:rsidR="00930F75" w:rsidRPr="00165AF7">
          <w:rPr>
            <w:rStyle w:val="Hyperlink"/>
            <w:noProof/>
          </w:rPr>
          <w:t>6.1</w:t>
        </w:r>
        <w:r w:rsidR="00930F75">
          <w:rPr>
            <w:rFonts w:asciiTheme="minorHAnsi" w:eastAsiaTheme="minorEastAsia" w:hAnsiTheme="minorHAnsi" w:cstheme="minorBidi"/>
            <w:noProof/>
            <w:color w:val="auto"/>
            <w:sz w:val="22"/>
            <w:szCs w:val="22"/>
            <w:lang w:eastAsia="en-AU"/>
          </w:rPr>
          <w:tab/>
        </w:r>
        <w:r w:rsidR="00930F75" w:rsidRPr="00165AF7">
          <w:rPr>
            <w:rStyle w:val="Hyperlink"/>
            <w:noProof/>
          </w:rPr>
          <w:t>Prepare an application</w:t>
        </w:r>
        <w:r w:rsidR="00930F75">
          <w:rPr>
            <w:noProof/>
            <w:webHidden/>
          </w:rPr>
          <w:tab/>
        </w:r>
        <w:r w:rsidR="00930F75">
          <w:rPr>
            <w:noProof/>
            <w:webHidden/>
          </w:rPr>
          <w:fldChar w:fldCharType="begin"/>
        </w:r>
        <w:r w:rsidR="00930F75">
          <w:rPr>
            <w:noProof/>
            <w:webHidden/>
          </w:rPr>
          <w:instrText xml:space="preserve"> PAGEREF _Toc126049431 \h </w:instrText>
        </w:r>
        <w:r w:rsidR="00930F75">
          <w:rPr>
            <w:noProof/>
            <w:webHidden/>
          </w:rPr>
        </w:r>
        <w:r w:rsidR="00930F75">
          <w:rPr>
            <w:noProof/>
            <w:webHidden/>
          </w:rPr>
          <w:fldChar w:fldCharType="separate"/>
        </w:r>
        <w:r w:rsidR="005030D5">
          <w:rPr>
            <w:noProof/>
            <w:webHidden/>
          </w:rPr>
          <w:t>10</w:t>
        </w:r>
        <w:r w:rsidR="00930F75">
          <w:rPr>
            <w:noProof/>
            <w:webHidden/>
          </w:rPr>
          <w:fldChar w:fldCharType="end"/>
        </w:r>
      </w:hyperlink>
    </w:p>
    <w:p w14:paraId="6BA43149" w14:textId="2B151B11" w:rsidR="00930F75" w:rsidRDefault="00A50A63">
      <w:pPr>
        <w:pStyle w:val="TOC2"/>
        <w:rPr>
          <w:rFonts w:asciiTheme="minorHAnsi" w:eastAsiaTheme="minorEastAsia" w:hAnsiTheme="minorHAnsi" w:cstheme="minorBidi"/>
          <w:noProof/>
          <w:color w:val="auto"/>
          <w:sz w:val="22"/>
          <w:szCs w:val="22"/>
          <w:lang w:eastAsia="en-AU"/>
        </w:rPr>
      </w:pPr>
      <w:hyperlink w:anchor="_Toc126049432" w:history="1">
        <w:r w:rsidR="00930F75" w:rsidRPr="00165AF7">
          <w:rPr>
            <w:rStyle w:val="Hyperlink"/>
            <w:noProof/>
          </w:rPr>
          <w:t>6.2</w:t>
        </w:r>
        <w:r w:rsidR="00930F75">
          <w:rPr>
            <w:rFonts w:asciiTheme="minorHAnsi" w:eastAsiaTheme="minorEastAsia" w:hAnsiTheme="minorHAnsi" w:cstheme="minorBidi"/>
            <w:noProof/>
            <w:color w:val="auto"/>
            <w:sz w:val="22"/>
            <w:szCs w:val="22"/>
            <w:lang w:eastAsia="en-AU"/>
          </w:rPr>
          <w:tab/>
        </w:r>
        <w:r w:rsidR="00930F75" w:rsidRPr="00165AF7">
          <w:rPr>
            <w:rStyle w:val="Hyperlink"/>
            <w:noProof/>
          </w:rPr>
          <w:t>Application requirements</w:t>
        </w:r>
        <w:r w:rsidR="00930F75">
          <w:rPr>
            <w:noProof/>
            <w:webHidden/>
          </w:rPr>
          <w:tab/>
        </w:r>
        <w:r w:rsidR="00930F75">
          <w:rPr>
            <w:noProof/>
            <w:webHidden/>
          </w:rPr>
          <w:fldChar w:fldCharType="begin"/>
        </w:r>
        <w:r w:rsidR="00930F75">
          <w:rPr>
            <w:noProof/>
            <w:webHidden/>
          </w:rPr>
          <w:instrText xml:space="preserve"> PAGEREF _Toc126049432 \h </w:instrText>
        </w:r>
        <w:r w:rsidR="00930F75">
          <w:rPr>
            <w:noProof/>
            <w:webHidden/>
          </w:rPr>
        </w:r>
        <w:r w:rsidR="00930F75">
          <w:rPr>
            <w:noProof/>
            <w:webHidden/>
          </w:rPr>
          <w:fldChar w:fldCharType="separate"/>
        </w:r>
        <w:r w:rsidR="005030D5">
          <w:rPr>
            <w:noProof/>
            <w:webHidden/>
          </w:rPr>
          <w:t>10</w:t>
        </w:r>
        <w:r w:rsidR="00930F75">
          <w:rPr>
            <w:noProof/>
            <w:webHidden/>
          </w:rPr>
          <w:fldChar w:fldCharType="end"/>
        </w:r>
      </w:hyperlink>
    </w:p>
    <w:p w14:paraId="1503A479" w14:textId="432B9014" w:rsidR="00930F75" w:rsidRDefault="00A50A63">
      <w:pPr>
        <w:pStyle w:val="TOC2"/>
        <w:rPr>
          <w:rFonts w:asciiTheme="minorHAnsi" w:eastAsiaTheme="minorEastAsia" w:hAnsiTheme="minorHAnsi" w:cstheme="minorBidi"/>
          <w:noProof/>
          <w:color w:val="auto"/>
          <w:sz w:val="22"/>
          <w:szCs w:val="22"/>
          <w:lang w:eastAsia="en-AU"/>
        </w:rPr>
      </w:pPr>
      <w:hyperlink w:anchor="_Toc126049433" w:history="1">
        <w:r w:rsidR="00930F75" w:rsidRPr="00165AF7">
          <w:rPr>
            <w:rStyle w:val="Hyperlink"/>
            <w:noProof/>
          </w:rPr>
          <w:t>6.3</w:t>
        </w:r>
        <w:r w:rsidR="00930F75">
          <w:rPr>
            <w:rFonts w:asciiTheme="minorHAnsi" w:eastAsiaTheme="minorEastAsia" w:hAnsiTheme="minorHAnsi" w:cstheme="minorBidi"/>
            <w:noProof/>
            <w:color w:val="auto"/>
            <w:sz w:val="22"/>
            <w:szCs w:val="22"/>
            <w:lang w:eastAsia="en-AU"/>
          </w:rPr>
          <w:tab/>
        </w:r>
        <w:r w:rsidR="00930F75" w:rsidRPr="00165AF7">
          <w:rPr>
            <w:rStyle w:val="Hyperlink"/>
            <w:noProof/>
          </w:rPr>
          <w:t>Supporting documentation</w:t>
        </w:r>
        <w:r w:rsidR="00930F75">
          <w:rPr>
            <w:noProof/>
            <w:webHidden/>
          </w:rPr>
          <w:tab/>
        </w:r>
        <w:r w:rsidR="00930F75">
          <w:rPr>
            <w:noProof/>
            <w:webHidden/>
          </w:rPr>
          <w:fldChar w:fldCharType="begin"/>
        </w:r>
        <w:r w:rsidR="00930F75">
          <w:rPr>
            <w:noProof/>
            <w:webHidden/>
          </w:rPr>
          <w:instrText xml:space="preserve"> PAGEREF _Toc126049433 \h </w:instrText>
        </w:r>
        <w:r w:rsidR="00930F75">
          <w:rPr>
            <w:noProof/>
            <w:webHidden/>
          </w:rPr>
        </w:r>
        <w:r w:rsidR="00930F75">
          <w:rPr>
            <w:noProof/>
            <w:webHidden/>
          </w:rPr>
          <w:fldChar w:fldCharType="separate"/>
        </w:r>
        <w:r w:rsidR="005030D5">
          <w:rPr>
            <w:noProof/>
            <w:webHidden/>
          </w:rPr>
          <w:t>10</w:t>
        </w:r>
        <w:r w:rsidR="00930F75">
          <w:rPr>
            <w:noProof/>
            <w:webHidden/>
          </w:rPr>
          <w:fldChar w:fldCharType="end"/>
        </w:r>
      </w:hyperlink>
    </w:p>
    <w:p w14:paraId="47C97F9D" w14:textId="1FB24C50" w:rsidR="00930F75" w:rsidRDefault="00A50A63">
      <w:pPr>
        <w:pStyle w:val="TOC2"/>
        <w:rPr>
          <w:rFonts w:asciiTheme="minorHAnsi" w:eastAsiaTheme="minorEastAsia" w:hAnsiTheme="minorHAnsi" w:cstheme="minorBidi"/>
          <w:noProof/>
          <w:color w:val="auto"/>
          <w:sz w:val="22"/>
          <w:szCs w:val="22"/>
          <w:lang w:eastAsia="en-AU"/>
        </w:rPr>
      </w:pPr>
      <w:hyperlink w:anchor="_Toc126049434" w:history="1">
        <w:r w:rsidR="00930F75" w:rsidRPr="00165AF7">
          <w:rPr>
            <w:rStyle w:val="Hyperlink"/>
            <w:noProof/>
          </w:rPr>
          <w:t>6.4</w:t>
        </w:r>
        <w:r w:rsidR="00930F75">
          <w:rPr>
            <w:rFonts w:asciiTheme="minorHAnsi" w:eastAsiaTheme="minorEastAsia" w:hAnsiTheme="minorHAnsi" w:cstheme="minorBidi"/>
            <w:noProof/>
            <w:color w:val="auto"/>
            <w:sz w:val="22"/>
            <w:szCs w:val="22"/>
            <w:lang w:eastAsia="en-AU"/>
          </w:rPr>
          <w:tab/>
        </w:r>
        <w:r w:rsidR="00930F75" w:rsidRPr="00165AF7">
          <w:rPr>
            <w:rStyle w:val="Hyperlink"/>
            <w:noProof/>
          </w:rPr>
          <w:t>Outcome notification</w:t>
        </w:r>
        <w:r w:rsidR="00930F75">
          <w:rPr>
            <w:noProof/>
            <w:webHidden/>
          </w:rPr>
          <w:tab/>
        </w:r>
        <w:r w:rsidR="00930F75">
          <w:rPr>
            <w:noProof/>
            <w:webHidden/>
          </w:rPr>
          <w:fldChar w:fldCharType="begin"/>
        </w:r>
        <w:r w:rsidR="00930F75">
          <w:rPr>
            <w:noProof/>
            <w:webHidden/>
          </w:rPr>
          <w:instrText xml:space="preserve"> PAGEREF _Toc126049434 \h </w:instrText>
        </w:r>
        <w:r w:rsidR="00930F75">
          <w:rPr>
            <w:noProof/>
            <w:webHidden/>
          </w:rPr>
        </w:r>
        <w:r w:rsidR="00930F75">
          <w:rPr>
            <w:noProof/>
            <w:webHidden/>
          </w:rPr>
          <w:fldChar w:fldCharType="separate"/>
        </w:r>
        <w:r w:rsidR="005030D5">
          <w:rPr>
            <w:noProof/>
            <w:webHidden/>
          </w:rPr>
          <w:t>11</w:t>
        </w:r>
        <w:r w:rsidR="00930F75">
          <w:rPr>
            <w:noProof/>
            <w:webHidden/>
          </w:rPr>
          <w:fldChar w:fldCharType="end"/>
        </w:r>
      </w:hyperlink>
    </w:p>
    <w:p w14:paraId="183172B8" w14:textId="57391175" w:rsidR="00930F75" w:rsidRDefault="00A50A63">
      <w:pPr>
        <w:pStyle w:val="TOC1"/>
        <w:rPr>
          <w:rFonts w:asciiTheme="minorHAnsi" w:eastAsiaTheme="minorEastAsia" w:hAnsiTheme="minorHAnsi" w:cstheme="minorBidi"/>
          <w:b w:val="0"/>
          <w:noProof/>
          <w:color w:val="auto"/>
          <w:sz w:val="22"/>
          <w:szCs w:val="22"/>
          <w:lang w:eastAsia="en-AU"/>
        </w:rPr>
      </w:pPr>
      <w:hyperlink w:anchor="_Toc126049435" w:history="1">
        <w:r w:rsidR="00930F75" w:rsidRPr="00165AF7">
          <w:rPr>
            <w:rStyle w:val="Hyperlink"/>
            <w:noProof/>
          </w:rPr>
          <w:t>7</w:t>
        </w:r>
        <w:r w:rsidR="00930F75">
          <w:rPr>
            <w:rFonts w:asciiTheme="minorHAnsi" w:eastAsiaTheme="minorEastAsia" w:hAnsiTheme="minorHAnsi" w:cstheme="minorBidi"/>
            <w:b w:val="0"/>
            <w:noProof/>
            <w:color w:val="auto"/>
            <w:sz w:val="22"/>
            <w:szCs w:val="22"/>
            <w:lang w:eastAsia="en-AU"/>
          </w:rPr>
          <w:tab/>
        </w:r>
        <w:r w:rsidR="00930F75" w:rsidRPr="00165AF7">
          <w:rPr>
            <w:rStyle w:val="Hyperlink"/>
            <w:noProof/>
          </w:rPr>
          <w:t>Grant agreements</w:t>
        </w:r>
        <w:r w:rsidR="00930F75">
          <w:rPr>
            <w:noProof/>
            <w:webHidden/>
          </w:rPr>
          <w:tab/>
        </w:r>
        <w:r w:rsidR="00930F75">
          <w:rPr>
            <w:noProof/>
            <w:webHidden/>
          </w:rPr>
          <w:fldChar w:fldCharType="begin"/>
        </w:r>
        <w:r w:rsidR="00930F75">
          <w:rPr>
            <w:noProof/>
            <w:webHidden/>
          </w:rPr>
          <w:instrText xml:space="preserve"> PAGEREF _Toc126049435 \h </w:instrText>
        </w:r>
        <w:r w:rsidR="00930F75">
          <w:rPr>
            <w:noProof/>
            <w:webHidden/>
          </w:rPr>
        </w:r>
        <w:r w:rsidR="00930F75">
          <w:rPr>
            <w:noProof/>
            <w:webHidden/>
          </w:rPr>
          <w:fldChar w:fldCharType="separate"/>
        </w:r>
        <w:r w:rsidR="005030D5">
          <w:rPr>
            <w:noProof/>
            <w:webHidden/>
          </w:rPr>
          <w:t>12</w:t>
        </w:r>
        <w:r w:rsidR="00930F75">
          <w:rPr>
            <w:noProof/>
            <w:webHidden/>
          </w:rPr>
          <w:fldChar w:fldCharType="end"/>
        </w:r>
      </w:hyperlink>
    </w:p>
    <w:p w14:paraId="3C0AB7AA" w14:textId="464F9A84" w:rsidR="00930F75" w:rsidRDefault="00A50A63">
      <w:pPr>
        <w:pStyle w:val="TOC1"/>
        <w:rPr>
          <w:rFonts w:asciiTheme="minorHAnsi" w:eastAsiaTheme="minorEastAsia" w:hAnsiTheme="minorHAnsi" w:cstheme="minorBidi"/>
          <w:b w:val="0"/>
          <w:noProof/>
          <w:color w:val="auto"/>
          <w:sz w:val="22"/>
          <w:szCs w:val="22"/>
          <w:lang w:eastAsia="en-AU"/>
        </w:rPr>
      </w:pPr>
      <w:hyperlink w:anchor="_Toc126049436" w:history="1">
        <w:r w:rsidR="00930F75" w:rsidRPr="00165AF7">
          <w:rPr>
            <w:rStyle w:val="Hyperlink"/>
            <w:noProof/>
          </w:rPr>
          <w:t>8</w:t>
        </w:r>
        <w:r w:rsidR="00930F75">
          <w:rPr>
            <w:rFonts w:asciiTheme="minorHAnsi" w:eastAsiaTheme="minorEastAsia" w:hAnsiTheme="minorHAnsi" w:cstheme="minorBidi"/>
            <w:b w:val="0"/>
            <w:noProof/>
            <w:color w:val="auto"/>
            <w:sz w:val="22"/>
            <w:szCs w:val="22"/>
            <w:lang w:eastAsia="en-AU"/>
          </w:rPr>
          <w:tab/>
        </w:r>
        <w:r w:rsidR="00930F75" w:rsidRPr="00165AF7">
          <w:rPr>
            <w:rStyle w:val="Hyperlink"/>
            <w:noProof/>
          </w:rPr>
          <w:t>Publicity/Acknowledgement</w:t>
        </w:r>
        <w:r w:rsidR="00930F75">
          <w:rPr>
            <w:noProof/>
            <w:webHidden/>
          </w:rPr>
          <w:tab/>
        </w:r>
        <w:r w:rsidR="00930F75">
          <w:rPr>
            <w:noProof/>
            <w:webHidden/>
          </w:rPr>
          <w:fldChar w:fldCharType="begin"/>
        </w:r>
        <w:r w:rsidR="00930F75">
          <w:rPr>
            <w:noProof/>
            <w:webHidden/>
          </w:rPr>
          <w:instrText xml:space="preserve"> PAGEREF _Toc126049436 \h </w:instrText>
        </w:r>
        <w:r w:rsidR="00930F75">
          <w:rPr>
            <w:noProof/>
            <w:webHidden/>
          </w:rPr>
        </w:r>
        <w:r w:rsidR="00930F75">
          <w:rPr>
            <w:noProof/>
            <w:webHidden/>
          </w:rPr>
          <w:fldChar w:fldCharType="separate"/>
        </w:r>
        <w:r w:rsidR="005030D5">
          <w:rPr>
            <w:noProof/>
            <w:webHidden/>
          </w:rPr>
          <w:t>13</w:t>
        </w:r>
        <w:r w:rsidR="00930F75">
          <w:rPr>
            <w:noProof/>
            <w:webHidden/>
          </w:rPr>
          <w:fldChar w:fldCharType="end"/>
        </w:r>
      </w:hyperlink>
    </w:p>
    <w:p w14:paraId="0234BECB" w14:textId="2EC71147" w:rsidR="00930F75" w:rsidRDefault="00A50A63">
      <w:pPr>
        <w:pStyle w:val="TOC1"/>
        <w:rPr>
          <w:rFonts w:asciiTheme="minorHAnsi" w:eastAsiaTheme="minorEastAsia" w:hAnsiTheme="minorHAnsi" w:cstheme="minorBidi"/>
          <w:b w:val="0"/>
          <w:noProof/>
          <w:color w:val="auto"/>
          <w:sz w:val="22"/>
          <w:szCs w:val="22"/>
          <w:lang w:eastAsia="en-AU"/>
        </w:rPr>
      </w:pPr>
      <w:hyperlink w:anchor="_Toc126049437" w:history="1">
        <w:r w:rsidR="00930F75" w:rsidRPr="00165AF7">
          <w:rPr>
            <w:rStyle w:val="Hyperlink"/>
            <w:noProof/>
          </w:rPr>
          <w:t>9</w:t>
        </w:r>
        <w:r w:rsidR="00930F75">
          <w:rPr>
            <w:rFonts w:asciiTheme="minorHAnsi" w:eastAsiaTheme="minorEastAsia" w:hAnsiTheme="minorHAnsi" w:cstheme="minorBidi"/>
            <w:b w:val="0"/>
            <w:noProof/>
            <w:color w:val="auto"/>
            <w:sz w:val="22"/>
            <w:szCs w:val="22"/>
            <w:lang w:eastAsia="en-AU"/>
          </w:rPr>
          <w:tab/>
        </w:r>
        <w:r w:rsidR="00930F75" w:rsidRPr="00165AF7">
          <w:rPr>
            <w:rStyle w:val="Hyperlink"/>
            <w:noProof/>
          </w:rPr>
          <w:t>Reporting for Program Evaluation</w:t>
        </w:r>
        <w:r w:rsidR="00930F75">
          <w:rPr>
            <w:noProof/>
            <w:webHidden/>
          </w:rPr>
          <w:tab/>
        </w:r>
        <w:r w:rsidR="00930F75">
          <w:rPr>
            <w:noProof/>
            <w:webHidden/>
          </w:rPr>
          <w:fldChar w:fldCharType="begin"/>
        </w:r>
        <w:r w:rsidR="00930F75">
          <w:rPr>
            <w:noProof/>
            <w:webHidden/>
          </w:rPr>
          <w:instrText xml:space="preserve"> PAGEREF _Toc126049437 \h </w:instrText>
        </w:r>
        <w:r w:rsidR="00930F75">
          <w:rPr>
            <w:noProof/>
            <w:webHidden/>
          </w:rPr>
        </w:r>
        <w:r w:rsidR="00930F75">
          <w:rPr>
            <w:noProof/>
            <w:webHidden/>
          </w:rPr>
          <w:fldChar w:fldCharType="separate"/>
        </w:r>
        <w:r w:rsidR="005030D5">
          <w:rPr>
            <w:noProof/>
            <w:webHidden/>
          </w:rPr>
          <w:t>14</w:t>
        </w:r>
        <w:r w:rsidR="00930F75">
          <w:rPr>
            <w:noProof/>
            <w:webHidden/>
          </w:rPr>
          <w:fldChar w:fldCharType="end"/>
        </w:r>
      </w:hyperlink>
    </w:p>
    <w:p w14:paraId="3C88108B" w14:textId="509ED451" w:rsidR="00930F75" w:rsidRDefault="00A50A63">
      <w:pPr>
        <w:pStyle w:val="TOC1"/>
        <w:rPr>
          <w:rFonts w:asciiTheme="minorHAnsi" w:eastAsiaTheme="minorEastAsia" w:hAnsiTheme="minorHAnsi" w:cstheme="minorBidi"/>
          <w:b w:val="0"/>
          <w:noProof/>
          <w:color w:val="auto"/>
          <w:sz w:val="22"/>
          <w:szCs w:val="22"/>
          <w:lang w:eastAsia="en-AU"/>
        </w:rPr>
      </w:pPr>
      <w:hyperlink w:anchor="_Toc126049438" w:history="1">
        <w:r w:rsidR="00930F75" w:rsidRPr="00165AF7">
          <w:rPr>
            <w:rStyle w:val="Hyperlink"/>
            <w:noProof/>
          </w:rPr>
          <w:t>10</w:t>
        </w:r>
        <w:r w:rsidR="00930F75">
          <w:rPr>
            <w:rFonts w:asciiTheme="minorHAnsi" w:eastAsiaTheme="minorEastAsia" w:hAnsiTheme="minorHAnsi" w:cstheme="minorBidi"/>
            <w:b w:val="0"/>
            <w:noProof/>
            <w:color w:val="auto"/>
            <w:sz w:val="22"/>
            <w:szCs w:val="22"/>
            <w:lang w:eastAsia="en-AU"/>
          </w:rPr>
          <w:tab/>
        </w:r>
        <w:r w:rsidR="00930F75" w:rsidRPr="00165AF7">
          <w:rPr>
            <w:rStyle w:val="Hyperlink"/>
            <w:noProof/>
          </w:rPr>
          <w:t>Privacy and confidentiality</w:t>
        </w:r>
        <w:r w:rsidR="00930F75">
          <w:rPr>
            <w:noProof/>
            <w:webHidden/>
          </w:rPr>
          <w:tab/>
        </w:r>
        <w:r w:rsidR="00930F75">
          <w:rPr>
            <w:noProof/>
            <w:webHidden/>
          </w:rPr>
          <w:fldChar w:fldCharType="begin"/>
        </w:r>
        <w:r w:rsidR="00930F75">
          <w:rPr>
            <w:noProof/>
            <w:webHidden/>
          </w:rPr>
          <w:instrText xml:space="preserve"> PAGEREF _Toc126049438 \h </w:instrText>
        </w:r>
        <w:r w:rsidR="00930F75">
          <w:rPr>
            <w:noProof/>
            <w:webHidden/>
          </w:rPr>
        </w:r>
        <w:r w:rsidR="00930F75">
          <w:rPr>
            <w:noProof/>
            <w:webHidden/>
          </w:rPr>
          <w:fldChar w:fldCharType="separate"/>
        </w:r>
        <w:r w:rsidR="005030D5">
          <w:rPr>
            <w:noProof/>
            <w:webHidden/>
          </w:rPr>
          <w:t>15</w:t>
        </w:r>
        <w:r w:rsidR="00930F75">
          <w:rPr>
            <w:noProof/>
            <w:webHidden/>
          </w:rPr>
          <w:fldChar w:fldCharType="end"/>
        </w:r>
      </w:hyperlink>
    </w:p>
    <w:p w14:paraId="4AEF7113" w14:textId="62FA2A7F" w:rsidR="00930F75" w:rsidRDefault="00A50A63">
      <w:pPr>
        <w:pStyle w:val="TOC1"/>
        <w:rPr>
          <w:rFonts w:asciiTheme="minorHAnsi" w:eastAsiaTheme="minorEastAsia" w:hAnsiTheme="minorHAnsi" w:cstheme="minorBidi"/>
          <w:b w:val="0"/>
          <w:noProof/>
          <w:color w:val="auto"/>
          <w:sz w:val="22"/>
          <w:szCs w:val="22"/>
          <w:lang w:eastAsia="en-AU"/>
        </w:rPr>
      </w:pPr>
      <w:hyperlink w:anchor="_Toc126049439" w:history="1">
        <w:r w:rsidR="00930F75" w:rsidRPr="00165AF7">
          <w:rPr>
            <w:rStyle w:val="Hyperlink"/>
            <w:noProof/>
          </w:rPr>
          <w:t>11</w:t>
        </w:r>
        <w:r w:rsidR="00930F75">
          <w:rPr>
            <w:rFonts w:asciiTheme="minorHAnsi" w:eastAsiaTheme="minorEastAsia" w:hAnsiTheme="minorHAnsi" w:cstheme="minorBidi"/>
            <w:b w:val="0"/>
            <w:noProof/>
            <w:color w:val="auto"/>
            <w:sz w:val="22"/>
            <w:szCs w:val="22"/>
            <w:lang w:eastAsia="en-AU"/>
          </w:rPr>
          <w:tab/>
        </w:r>
        <w:r w:rsidR="00930F75" w:rsidRPr="00165AF7">
          <w:rPr>
            <w:rStyle w:val="Hyperlink"/>
            <w:noProof/>
          </w:rPr>
          <w:t>General terms of applying</w:t>
        </w:r>
        <w:r w:rsidR="00930F75">
          <w:rPr>
            <w:noProof/>
            <w:webHidden/>
          </w:rPr>
          <w:tab/>
        </w:r>
        <w:r w:rsidR="00930F75">
          <w:rPr>
            <w:noProof/>
            <w:webHidden/>
          </w:rPr>
          <w:fldChar w:fldCharType="begin"/>
        </w:r>
        <w:r w:rsidR="00930F75">
          <w:rPr>
            <w:noProof/>
            <w:webHidden/>
          </w:rPr>
          <w:instrText xml:space="preserve"> PAGEREF _Toc126049439 \h </w:instrText>
        </w:r>
        <w:r w:rsidR="00930F75">
          <w:rPr>
            <w:noProof/>
            <w:webHidden/>
          </w:rPr>
        </w:r>
        <w:r w:rsidR="00930F75">
          <w:rPr>
            <w:noProof/>
            <w:webHidden/>
          </w:rPr>
          <w:fldChar w:fldCharType="separate"/>
        </w:r>
        <w:r w:rsidR="005030D5">
          <w:rPr>
            <w:noProof/>
            <w:webHidden/>
          </w:rPr>
          <w:t>16</w:t>
        </w:r>
        <w:r w:rsidR="00930F75">
          <w:rPr>
            <w:noProof/>
            <w:webHidden/>
          </w:rPr>
          <w:fldChar w:fldCharType="end"/>
        </w:r>
      </w:hyperlink>
    </w:p>
    <w:p w14:paraId="5ED1C8CE" w14:textId="6FE7707D" w:rsidR="00930F75" w:rsidRDefault="00A50A63">
      <w:pPr>
        <w:pStyle w:val="TOC2"/>
        <w:rPr>
          <w:rFonts w:asciiTheme="minorHAnsi" w:eastAsiaTheme="minorEastAsia" w:hAnsiTheme="minorHAnsi" w:cstheme="minorBidi"/>
          <w:noProof/>
          <w:color w:val="auto"/>
          <w:sz w:val="22"/>
          <w:szCs w:val="22"/>
          <w:lang w:eastAsia="en-AU"/>
        </w:rPr>
      </w:pPr>
      <w:hyperlink w:anchor="_Toc126049440" w:history="1">
        <w:r w:rsidR="00930F75" w:rsidRPr="00165AF7">
          <w:rPr>
            <w:rStyle w:val="Hyperlink"/>
            <w:noProof/>
          </w:rPr>
          <w:t>11.1</w:t>
        </w:r>
        <w:r w:rsidR="00930F75">
          <w:rPr>
            <w:rFonts w:asciiTheme="minorHAnsi" w:eastAsiaTheme="minorEastAsia" w:hAnsiTheme="minorHAnsi" w:cstheme="minorBidi"/>
            <w:noProof/>
            <w:color w:val="auto"/>
            <w:sz w:val="22"/>
            <w:szCs w:val="22"/>
            <w:lang w:eastAsia="en-AU"/>
          </w:rPr>
          <w:tab/>
        </w:r>
        <w:r w:rsidR="00930F75" w:rsidRPr="00165AF7">
          <w:rPr>
            <w:rStyle w:val="Hyperlink"/>
            <w:noProof/>
          </w:rPr>
          <w:t>Further information</w:t>
        </w:r>
        <w:r w:rsidR="00930F75">
          <w:rPr>
            <w:noProof/>
            <w:webHidden/>
          </w:rPr>
          <w:tab/>
        </w:r>
        <w:r w:rsidR="00930F75">
          <w:rPr>
            <w:noProof/>
            <w:webHidden/>
          </w:rPr>
          <w:fldChar w:fldCharType="begin"/>
        </w:r>
        <w:r w:rsidR="00930F75">
          <w:rPr>
            <w:noProof/>
            <w:webHidden/>
          </w:rPr>
          <w:instrText xml:space="preserve"> PAGEREF _Toc126049440 \h </w:instrText>
        </w:r>
        <w:r w:rsidR="00930F75">
          <w:rPr>
            <w:noProof/>
            <w:webHidden/>
          </w:rPr>
        </w:r>
        <w:r w:rsidR="00930F75">
          <w:rPr>
            <w:noProof/>
            <w:webHidden/>
          </w:rPr>
          <w:fldChar w:fldCharType="separate"/>
        </w:r>
        <w:r w:rsidR="005030D5">
          <w:rPr>
            <w:noProof/>
            <w:webHidden/>
          </w:rPr>
          <w:t>16</w:t>
        </w:r>
        <w:r w:rsidR="00930F75">
          <w:rPr>
            <w:noProof/>
            <w:webHidden/>
          </w:rPr>
          <w:fldChar w:fldCharType="end"/>
        </w:r>
      </w:hyperlink>
    </w:p>
    <w:p w14:paraId="31117E0C" w14:textId="731C9713" w:rsidR="00930F75" w:rsidRDefault="00A50A63">
      <w:pPr>
        <w:pStyle w:val="TOC2"/>
        <w:rPr>
          <w:rFonts w:asciiTheme="minorHAnsi" w:eastAsiaTheme="minorEastAsia" w:hAnsiTheme="minorHAnsi" w:cstheme="minorBidi"/>
          <w:noProof/>
          <w:color w:val="auto"/>
          <w:sz w:val="22"/>
          <w:szCs w:val="22"/>
          <w:lang w:eastAsia="en-AU"/>
        </w:rPr>
      </w:pPr>
      <w:hyperlink w:anchor="_Toc126049441" w:history="1">
        <w:r w:rsidR="00930F75" w:rsidRPr="00165AF7">
          <w:rPr>
            <w:rStyle w:val="Hyperlink"/>
            <w:noProof/>
          </w:rPr>
          <w:t>11.2</w:t>
        </w:r>
        <w:r w:rsidR="00930F75">
          <w:rPr>
            <w:rFonts w:asciiTheme="minorHAnsi" w:eastAsiaTheme="minorEastAsia" w:hAnsiTheme="minorHAnsi" w:cstheme="minorBidi"/>
            <w:noProof/>
            <w:color w:val="auto"/>
            <w:sz w:val="22"/>
            <w:szCs w:val="22"/>
            <w:lang w:eastAsia="en-AU"/>
          </w:rPr>
          <w:tab/>
        </w:r>
        <w:r w:rsidR="00930F75" w:rsidRPr="00165AF7">
          <w:rPr>
            <w:rStyle w:val="Hyperlink"/>
            <w:noProof/>
          </w:rPr>
          <w:t>Amendments</w:t>
        </w:r>
        <w:r w:rsidR="00930F75">
          <w:rPr>
            <w:noProof/>
            <w:webHidden/>
          </w:rPr>
          <w:tab/>
        </w:r>
        <w:r w:rsidR="00930F75">
          <w:rPr>
            <w:noProof/>
            <w:webHidden/>
          </w:rPr>
          <w:fldChar w:fldCharType="begin"/>
        </w:r>
        <w:r w:rsidR="00930F75">
          <w:rPr>
            <w:noProof/>
            <w:webHidden/>
          </w:rPr>
          <w:instrText xml:space="preserve"> PAGEREF _Toc126049441 \h </w:instrText>
        </w:r>
        <w:r w:rsidR="00930F75">
          <w:rPr>
            <w:noProof/>
            <w:webHidden/>
          </w:rPr>
        </w:r>
        <w:r w:rsidR="00930F75">
          <w:rPr>
            <w:noProof/>
            <w:webHidden/>
          </w:rPr>
          <w:fldChar w:fldCharType="separate"/>
        </w:r>
        <w:r w:rsidR="005030D5">
          <w:rPr>
            <w:noProof/>
            <w:webHidden/>
          </w:rPr>
          <w:t>16</w:t>
        </w:r>
        <w:r w:rsidR="00930F75">
          <w:rPr>
            <w:noProof/>
            <w:webHidden/>
          </w:rPr>
          <w:fldChar w:fldCharType="end"/>
        </w:r>
      </w:hyperlink>
    </w:p>
    <w:p w14:paraId="071D6BD4" w14:textId="70EA967C" w:rsidR="00930F75" w:rsidRDefault="00A50A63">
      <w:pPr>
        <w:pStyle w:val="TOC2"/>
        <w:rPr>
          <w:rFonts w:asciiTheme="minorHAnsi" w:eastAsiaTheme="minorEastAsia" w:hAnsiTheme="minorHAnsi" w:cstheme="minorBidi"/>
          <w:noProof/>
          <w:color w:val="auto"/>
          <w:sz w:val="22"/>
          <w:szCs w:val="22"/>
          <w:lang w:eastAsia="en-AU"/>
        </w:rPr>
      </w:pPr>
      <w:hyperlink w:anchor="_Toc126049442" w:history="1">
        <w:r w:rsidR="00930F75" w:rsidRPr="00165AF7">
          <w:rPr>
            <w:rStyle w:val="Hyperlink"/>
            <w:noProof/>
          </w:rPr>
          <w:t>11.3</w:t>
        </w:r>
        <w:r w:rsidR="00930F75">
          <w:rPr>
            <w:rFonts w:asciiTheme="minorHAnsi" w:eastAsiaTheme="minorEastAsia" w:hAnsiTheme="minorHAnsi" w:cstheme="minorBidi"/>
            <w:noProof/>
            <w:color w:val="auto"/>
            <w:sz w:val="22"/>
            <w:szCs w:val="22"/>
            <w:lang w:eastAsia="en-AU"/>
          </w:rPr>
          <w:tab/>
        </w:r>
        <w:r w:rsidR="00930F75" w:rsidRPr="00165AF7">
          <w:rPr>
            <w:rStyle w:val="Hyperlink"/>
            <w:noProof/>
          </w:rPr>
          <w:t>Further Resources</w:t>
        </w:r>
        <w:r w:rsidR="00930F75">
          <w:rPr>
            <w:noProof/>
            <w:webHidden/>
          </w:rPr>
          <w:tab/>
        </w:r>
        <w:r w:rsidR="00930F75">
          <w:rPr>
            <w:noProof/>
            <w:webHidden/>
          </w:rPr>
          <w:fldChar w:fldCharType="begin"/>
        </w:r>
        <w:r w:rsidR="00930F75">
          <w:rPr>
            <w:noProof/>
            <w:webHidden/>
          </w:rPr>
          <w:instrText xml:space="preserve"> PAGEREF _Toc126049442 \h </w:instrText>
        </w:r>
        <w:r w:rsidR="00930F75">
          <w:rPr>
            <w:noProof/>
            <w:webHidden/>
          </w:rPr>
        </w:r>
        <w:r w:rsidR="00930F75">
          <w:rPr>
            <w:noProof/>
            <w:webHidden/>
          </w:rPr>
          <w:fldChar w:fldCharType="separate"/>
        </w:r>
        <w:r w:rsidR="005030D5">
          <w:rPr>
            <w:noProof/>
            <w:webHidden/>
          </w:rPr>
          <w:t>16</w:t>
        </w:r>
        <w:r w:rsidR="00930F75">
          <w:rPr>
            <w:noProof/>
            <w:webHidden/>
          </w:rPr>
          <w:fldChar w:fldCharType="end"/>
        </w:r>
      </w:hyperlink>
    </w:p>
    <w:p w14:paraId="4AB08C18" w14:textId="0EBE52D9" w:rsidR="00D96C1E" w:rsidRPr="00D9016A" w:rsidRDefault="00A17119" w:rsidP="006B45F1">
      <w:pPr>
        <w:rPr>
          <w:noProof/>
        </w:rPr>
      </w:pPr>
      <w:r w:rsidRPr="00D9016A">
        <w:rPr>
          <w:noProof/>
          <w:lang w:eastAsia="en-AU"/>
        </w:rPr>
        <w:fldChar w:fldCharType="end"/>
      </w:r>
    </w:p>
    <w:p w14:paraId="5434D0C3" w14:textId="0DDA0808" w:rsidR="00914E64" w:rsidRPr="006B45F1" w:rsidRDefault="006A5D91" w:rsidP="00D82257">
      <w:pPr>
        <w:pStyle w:val="Heading1"/>
      </w:pPr>
      <w:bookmarkStart w:id="0" w:name="_Toc114643473"/>
      <w:bookmarkStart w:id="1" w:name="_Toc126049413"/>
      <w:r>
        <w:lastRenderedPageBreak/>
        <w:t>Program Summary</w:t>
      </w:r>
      <w:bookmarkEnd w:id="0"/>
      <w:bookmarkEnd w:id="1"/>
    </w:p>
    <w:p w14:paraId="5386D4DC" w14:textId="4193D8CE" w:rsidR="006A5D91" w:rsidRDefault="006A5D91" w:rsidP="006A5D91">
      <w:pPr>
        <w:pStyle w:val="Heading2"/>
      </w:pPr>
      <w:bookmarkStart w:id="2" w:name="_Toc114643474"/>
      <w:bookmarkStart w:id="3" w:name="_Toc126049414"/>
      <w:r>
        <w:t xml:space="preserve">Program </w:t>
      </w:r>
      <w:bookmarkEnd w:id="2"/>
      <w:r w:rsidR="00357BCF">
        <w:t>c</w:t>
      </w:r>
      <w:r>
        <w:t>ontext</w:t>
      </w:r>
      <w:bookmarkEnd w:id="3"/>
    </w:p>
    <w:p w14:paraId="041E80E2" w14:textId="14A0D050" w:rsidR="006A5D91" w:rsidRPr="00DF6A09" w:rsidRDefault="006A5D91" w:rsidP="006A5D91">
      <w:r w:rsidRPr="006A5D91">
        <w:t>Events are important for building community cohesion and</w:t>
      </w:r>
      <w:r w:rsidR="00D80890">
        <w:t xml:space="preserve"> creating</w:t>
      </w:r>
      <w:r w:rsidRPr="006A5D91">
        <w:t xml:space="preserve"> job</w:t>
      </w:r>
      <w:r w:rsidR="00D80890">
        <w:t xml:space="preserve">s. </w:t>
      </w:r>
      <w:r w:rsidRPr="006A5D91" w:rsidDel="00D80890">
        <w:t xml:space="preserve"> </w:t>
      </w:r>
      <w:r w:rsidR="00D80890">
        <w:t>Ho</w:t>
      </w:r>
      <w:r w:rsidR="00284EA0">
        <w:t>we</w:t>
      </w:r>
      <w:r w:rsidR="00D80890">
        <w:t>ver, m</w:t>
      </w:r>
      <w:r w:rsidRPr="006A5D91">
        <w:t>any small to medium community events hav</w:t>
      </w:r>
      <w:r w:rsidR="00D80890">
        <w:t>e</w:t>
      </w:r>
      <w:r w:rsidRPr="006A5D91">
        <w:t xml:space="preserve"> encountered significant obstacles in their return to operation following COVID-</w:t>
      </w:r>
      <w:r w:rsidRPr="00DF6A09">
        <w:t xml:space="preserve">19. </w:t>
      </w:r>
    </w:p>
    <w:p w14:paraId="42D3F374" w14:textId="398B7173" w:rsidR="00BE6965" w:rsidRDefault="00BE6965" w:rsidP="00F576E4">
      <w:r w:rsidRPr="00590458">
        <w:t>The Victorian Government committed $3 million in the 2022-23 Victorian State Budget to support</w:t>
      </w:r>
      <w:r w:rsidR="00284EA0">
        <w:t xml:space="preserve"> the return </w:t>
      </w:r>
      <w:r w:rsidR="007F5A65">
        <w:t xml:space="preserve">and recovery </w:t>
      </w:r>
      <w:r w:rsidR="00284EA0">
        <w:t>of</w:t>
      </w:r>
      <w:r w:rsidRPr="00590458">
        <w:t xml:space="preserve"> small and medium sized </w:t>
      </w:r>
      <w:r w:rsidR="00A83EBA" w:rsidRPr="00590458">
        <w:t xml:space="preserve">community </w:t>
      </w:r>
      <w:r w:rsidRPr="00590458">
        <w:t>events in Greater Melbourne</w:t>
      </w:r>
      <w:r w:rsidR="00A55AA2" w:rsidRPr="00590458">
        <w:t>.</w:t>
      </w:r>
    </w:p>
    <w:p w14:paraId="2DFE34C6" w14:textId="169B94E6" w:rsidR="006A5D91" w:rsidRDefault="006A5D91" w:rsidP="006A5D91">
      <w:r w:rsidRPr="006A5D91">
        <w:t xml:space="preserve">The Small and Medium Events (SME) Program will support a range of </w:t>
      </w:r>
      <w:r w:rsidR="005C0001">
        <w:t>creat</w:t>
      </w:r>
      <w:r w:rsidR="005C0001" w:rsidRPr="006A5D91">
        <w:t xml:space="preserve">ive, cultural and </w:t>
      </w:r>
      <w:r w:rsidR="005C0001">
        <w:t xml:space="preserve">community </w:t>
      </w:r>
      <w:r w:rsidR="005C0001" w:rsidRPr="006A5D91">
        <w:t xml:space="preserve">sporting events </w:t>
      </w:r>
      <w:r w:rsidRPr="006A5D91">
        <w:t>across Greater Melbourne to rebuild capacity in the sector and improve community connection.</w:t>
      </w:r>
    </w:p>
    <w:p w14:paraId="316B76CB" w14:textId="49DD9369" w:rsidR="006A5D91" w:rsidRDefault="006A5D91" w:rsidP="006A5D91">
      <w:pPr>
        <w:pStyle w:val="Heading2"/>
      </w:pPr>
      <w:bookmarkStart w:id="4" w:name="_Toc120788161"/>
      <w:bookmarkStart w:id="5" w:name="_Toc118725402"/>
      <w:bookmarkStart w:id="6" w:name="_Toc119064356"/>
      <w:bookmarkStart w:id="7" w:name="_Toc119924978"/>
      <w:bookmarkStart w:id="8" w:name="_Toc126049415"/>
      <w:bookmarkEnd w:id="4"/>
      <w:bookmarkEnd w:id="5"/>
      <w:bookmarkEnd w:id="6"/>
      <w:bookmarkEnd w:id="7"/>
      <w:r>
        <w:t xml:space="preserve">Program </w:t>
      </w:r>
      <w:r w:rsidR="00357BCF">
        <w:t>o</w:t>
      </w:r>
      <w:r>
        <w:t xml:space="preserve">bjectives and </w:t>
      </w:r>
      <w:r w:rsidR="00357BCF">
        <w:t>o</w:t>
      </w:r>
      <w:r>
        <w:t>utcomes</w:t>
      </w:r>
      <w:bookmarkEnd w:id="8"/>
    </w:p>
    <w:p w14:paraId="0A3896C5" w14:textId="77777777" w:rsidR="006A5D91" w:rsidRDefault="006A5D91" w:rsidP="006A5D91">
      <w:r>
        <w:t xml:space="preserve">The objectives of the Small and Medium Events Program are to: </w:t>
      </w:r>
    </w:p>
    <w:p w14:paraId="54EB6FCE" w14:textId="1691B4F6" w:rsidR="004C52B6" w:rsidRDefault="006A5D91" w:rsidP="006A5D91">
      <w:pPr>
        <w:pStyle w:val="ListParagraph"/>
      </w:pPr>
      <w:r>
        <w:t>S</w:t>
      </w:r>
      <w:r w:rsidRPr="006A5D91">
        <w:t xml:space="preserve">upport small and medium events across </w:t>
      </w:r>
      <w:r w:rsidR="004C52B6">
        <w:t>G</w:t>
      </w:r>
      <w:r w:rsidRPr="006A5D91">
        <w:t xml:space="preserve">reater Melbourne </w:t>
      </w:r>
      <w:r w:rsidR="00D758DF">
        <w:t>that</w:t>
      </w:r>
      <w:r w:rsidR="006205BA">
        <w:t xml:space="preserve"> </w:t>
      </w:r>
      <w:r w:rsidR="00D758DF" w:rsidRPr="00C52117">
        <w:t xml:space="preserve">provide value </w:t>
      </w:r>
      <w:r w:rsidR="00C52117" w:rsidRPr="00C52117">
        <w:t xml:space="preserve">to </w:t>
      </w:r>
      <w:r w:rsidR="00D758DF" w:rsidRPr="00C52117">
        <w:t xml:space="preserve">their local communities </w:t>
      </w:r>
    </w:p>
    <w:p w14:paraId="210128DC" w14:textId="10C2A423" w:rsidR="006A5D91" w:rsidRPr="006A5D91" w:rsidRDefault="004C52B6" w:rsidP="006A5D91">
      <w:pPr>
        <w:pStyle w:val="ListParagraph"/>
      </w:pPr>
      <w:r>
        <w:t>A</w:t>
      </w:r>
      <w:r w:rsidR="000B513D">
        <w:t xml:space="preserve">id </w:t>
      </w:r>
      <w:r w:rsidR="006A5D91" w:rsidRPr="006A5D91">
        <w:t>recovery</w:t>
      </w:r>
      <w:r w:rsidR="000B513D">
        <w:t xml:space="preserve"> of</w:t>
      </w:r>
      <w:r>
        <w:t xml:space="preserve"> Victoria’s</w:t>
      </w:r>
      <w:r w:rsidR="000B513D">
        <w:t xml:space="preserve"> events sector</w:t>
      </w:r>
    </w:p>
    <w:p w14:paraId="1E864765" w14:textId="7B565064" w:rsidR="006A5D91" w:rsidRDefault="006A5D91" w:rsidP="006A5D91">
      <w:pPr>
        <w:pStyle w:val="ListParagraph"/>
      </w:pPr>
      <w:r>
        <w:t>Encourage an active events ecosystem that supports events and supply chain businesses to attract and retain volunteers and staff</w:t>
      </w:r>
    </w:p>
    <w:p w14:paraId="507214E1" w14:textId="25D7DE39" w:rsidR="006A5D91" w:rsidRDefault="00861EDA" w:rsidP="006A5D91">
      <w:pPr>
        <w:pStyle w:val="ListParagraph"/>
      </w:pPr>
      <w:r>
        <w:t xml:space="preserve">Ensure that </w:t>
      </w:r>
      <w:r w:rsidR="006A5D91">
        <w:t>Victoria continue</w:t>
      </w:r>
      <w:r>
        <w:t>s</w:t>
      </w:r>
      <w:r w:rsidR="006A5D91" w:rsidDel="00861EDA">
        <w:t xml:space="preserve"> </w:t>
      </w:r>
      <w:r w:rsidR="00B26383">
        <w:t xml:space="preserve">to be a </w:t>
      </w:r>
      <w:r w:rsidR="006A5D91">
        <w:t xml:space="preserve">vibrant capital </w:t>
      </w:r>
      <w:r w:rsidR="00B26383">
        <w:t>for events of every scale</w:t>
      </w:r>
      <w:r w:rsidR="006A5D91">
        <w:t>.</w:t>
      </w:r>
    </w:p>
    <w:p w14:paraId="345C2FC1" w14:textId="77777777" w:rsidR="006A5D91" w:rsidRDefault="006A5D91" w:rsidP="006A5D91">
      <w:r>
        <w:t>The intended outcomes of this program are:</w:t>
      </w:r>
    </w:p>
    <w:p w14:paraId="697071A5" w14:textId="74314186" w:rsidR="006A5D91" w:rsidRDefault="006A5D91" w:rsidP="006A5D91">
      <w:pPr>
        <w:pStyle w:val="ListParagraph"/>
      </w:pPr>
      <w:r>
        <w:t>Small and medium community events have the confidence to return to pre pandemic capacity, if not stronger</w:t>
      </w:r>
    </w:p>
    <w:p w14:paraId="19C4BF21" w14:textId="153384A2" w:rsidR="006A5D91" w:rsidRDefault="00EC1986" w:rsidP="006A5D91">
      <w:pPr>
        <w:pStyle w:val="ListParagraph"/>
      </w:pPr>
      <w:r>
        <w:t>Ongoing viability of c</w:t>
      </w:r>
      <w:r w:rsidR="006A5D91">
        <w:t xml:space="preserve">ommunity events </w:t>
      </w:r>
      <w:r>
        <w:t xml:space="preserve">is </w:t>
      </w:r>
      <w:r w:rsidR="00EC1EA6">
        <w:t>supported</w:t>
      </w:r>
    </w:p>
    <w:p w14:paraId="60F851EA" w14:textId="27FCDBB0" w:rsidR="006A5D91" w:rsidRDefault="006A5D91" w:rsidP="006A5D91">
      <w:pPr>
        <w:pStyle w:val="ListParagraph"/>
      </w:pPr>
      <w:r>
        <w:t>Events sector knowledge and experience is retained through staff retention.</w:t>
      </w:r>
    </w:p>
    <w:p w14:paraId="2621CAEF" w14:textId="3D623259" w:rsidR="006A5D91" w:rsidRPr="00D82257" w:rsidRDefault="006A5D91" w:rsidP="00D82257">
      <w:pPr>
        <w:pStyle w:val="Heading1"/>
      </w:pPr>
      <w:bookmarkStart w:id="9" w:name="_Toc114643476"/>
      <w:bookmarkStart w:id="10" w:name="_Toc126049416"/>
      <w:r w:rsidRPr="00D82257">
        <w:lastRenderedPageBreak/>
        <w:t>Program dates</w:t>
      </w:r>
      <w:bookmarkEnd w:id="9"/>
      <w:bookmarkEnd w:id="10"/>
    </w:p>
    <w:p w14:paraId="5BA1C115" w14:textId="77777777" w:rsidR="006A5D91" w:rsidRDefault="006A5D91" w:rsidP="006A5D91">
      <w:r>
        <w:t xml:space="preserve">Key dates: </w:t>
      </w:r>
    </w:p>
    <w:p w14:paraId="677917AC" w14:textId="213B9646" w:rsidR="006A5D91" w:rsidRPr="0018430E" w:rsidRDefault="006A5D91" w:rsidP="006A5D91">
      <w:pPr>
        <w:pStyle w:val="ListParagraph"/>
        <w:rPr>
          <w:color w:val="auto"/>
        </w:rPr>
      </w:pPr>
      <w:r>
        <w:t xml:space="preserve">Applications open </w:t>
      </w:r>
      <w:r w:rsidRPr="00140C5E">
        <w:t xml:space="preserve">on </w:t>
      </w:r>
      <w:r w:rsidR="00FA319D">
        <w:t>31 January 2023</w:t>
      </w:r>
      <w:r w:rsidR="6F71CCA4" w:rsidRPr="0018430E">
        <w:rPr>
          <w:color w:val="auto"/>
        </w:rPr>
        <w:t xml:space="preserve"> at 10:00am</w:t>
      </w:r>
    </w:p>
    <w:p w14:paraId="2B8E018B" w14:textId="676A5C1A" w:rsidR="006A5D91" w:rsidRDefault="006A5D91" w:rsidP="006A5D91">
      <w:pPr>
        <w:pStyle w:val="ListParagraph"/>
      </w:pPr>
      <w:r w:rsidRPr="00140C5E">
        <w:t xml:space="preserve">Applications close on </w:t>
      </w:r>
      <w:r w:rsidR="00FA319D">
        <w:t xml:space="preserve">28 February </w:t>
      </w:r>
      <w:r w:rsidR="00D40EAE" w:rsidRPr="0018430E">
        <w:rPr>
          <w:color w:val="auto"/>
        </w:rPr>
        <w:t xml:space="preserve">2023 </w:t>
      </w:r>
      <w:r>
        <w:t xml:space="preserve">at </w:t>
      </w:r>
      <w:r w:rsidR="00761420">
        <w:t>4</w:t>
      </w:r>
      <w:r w:rsidR="00CD58CA">
        <w:t>:</w:t>
      </w:r>
      <w:r w:rsidR="00761420">
        <w:t xml:space="preserve">00 PM </w:t>
      </w:r>
      <w:r>
        <w:t>(late applications will not be accepted)</w:t>
      </w:r>
      <w:r w:rsidR="00B03FB1">
        <w:t>.</w:t>
      </w:r>
    </w:p>
    <w:p w14:paraId="01DE0618" w14:textId="765C3493" w:rsidR="006A5D91" w:rsidRPr="0018430E" w:rsidRDefault="006A5D91" w:rsidP="006A5D91">
      <w:pPr>
        <w:pStyle w:val="ListParagraph"/>
        <w:rPr>
          <w:color w:val="auto"/>
        </w:rPr>
      </w:pPr>
      <w:r>
        <w:t>Applicants will be notified</w:t>
      </w:r>
      <w:r w:rsidR="00CD58CA">
        <w:t xml:space="preserve"> of the application outcome</w:t>
      </w:r>
      <w:r>
        <w:t xml:space="preserve"> </w:t>
      </w:r>
      <w:r w:rsidRPr="0018430E">
        <w:rPr>
          <w:color w:val="auto"/>
        </w:rPr>
        <w:t xml:space="preserve">in </w:t>
      </w:r>
      <w:r w:rsidR="0026263C" w:rsidRPr="0018430E">
        <w:rPr>
          <w:color w:val="auto"/>
        </w:rPr>
        <w:t xml:space="preserve">April </w:t>
      </w:r>
      <w:r w:rsidRPr="0018430E">
        <w:rPr>
          <w:color w:val="auto"/>
        </w:rPr>
        <w:t>2023</w:t>
      </w:r>
      <w:r w:rsidR="00B03FB1" w:rsidRPr="0018430E">
        <w:rPr>
          <w:color w:val="auto"/>
        </w:rPr>
        <w:t>.</w:t>
      </w:r>
    </w:p>
    <w:p w14:paraId="2A84A57D" w14:textId="72B9B8C8" w:rsidR="006A5D91" w:rsidRPr="0018430E" w:rsidRDefault="006A5D91" w:rsidP="006A5D91">
      <w:pPr>
        <w:pStyle w:val="ListParagraph"/>
        <w:rPr>
          <w:color w:val="auto"/>
        </w:rPr>
      </w:pPr>
      <w:r w:rsidRPr="0018430E">
        <w:rPr>
          <w:color w:val="auto"/>
        </w:rPr>
        <w:t xml:space="preserve">Events must be staged between 1 </w:t>
      </w:r>
      <w:r w:rsidR="0026263C" w:rsidRPr="0018430E">
        <w:rPr>
          <w:color w:val="auto"/>
        </w:rPr>
        <w:t xml:space="preserve">June </w:t>
      </w:r>
      <w:r w:rsidRPr="0018430E">
        <w:rPr>
          <w:color w:val="auto"/>
        </w:rPr>
        <w:t xml:space="preserve">2023 and </w:t>
      </w:r>
      <w:r w:rsidR="0026263C" w:rsidRPr="0018430E">
        <w:rPr>
          <w:color w:val="auto"/>
        </w:rPr>
        <w:t xml:space="preserve">31 December </w:t>
      </w:r>
      <w:r w:rsidRPr="0018430E">
        <w:rPr>
          <w:color w:val="auto"/>
        </w:rPr>
        <w:t>2023.</w:t>
      </w:r>
    </w:p>
    <w:p w14:paraId="0BF8DE23" w14:textId="14D39F87" w:rsidR="00F86A8F" w:rsidRDefault="00886174" w:rsidP="00D82257">
      <w:pPr>
        <w:pStyle w:val="Heading1"/>
      </w:pPr>
      <w:bookmarkStart w:id="11" w:name="_Toc114643477"/>
      <w:bookmarkStart w:id="12" w:name="_Toc126049417"/>
      <w:r>
        <w:lastRenderedPageBreak/>
        <w:t>Available Funding</w:t>
      </w:r>
      <w:bookmarkEnd w:id="11"/>
      <w:bookmarkEnd w:id="12"/>
    </w:p>
    <w:p w14:paraId="65E0D907" w14:textId="4C18B9EE" w:rsidR="00A45B31" w:rsidRDefault="00A45B31" w:rsidP="00A45B31">
      <w:r w:rsidRPr="00A45B31">
        <w:t>Applicants can request grant funding between $5,000 and $50,000</w:t>
      </w:r>
      <w:r w:rsidR="00B1512A">
        <w:t xml:space="preserve"> (</w:t>
      </w:r>
      <w:r w:rsidR="00845ACB">
        <w:t>exclusive of</w:t>
      </w:r>
      <w:r w:rsidR="00B1512A">
        <w:t xml:space="preserve"> GST)</w:t>
      </w:r>
      <w:r w:rsidR="00F52F60">
        <w:t xml:space="preserve"> based </w:t>
      </w:r>
      <w:r w:rsidRPr="00A45B31">
        <w:t>on the</w:t>
      </w:r>
      <w:r w:rsidR="00F52F60">
        <w:t xml:space="preserve"> estimated</w:t>
      </w:r>
      <w:r w:rsidRPr="00A45B31">
        <w:t xml:space="preserve"> number of attendees </w:t>
      </w:r>
      <w:r w:rsidR="00F52F60">
        <w:t xml:space="preserve">(see </w:t>
      </w:r>
      <w:r w:rsidRPr="00A45B31">
        <w:t>Table 1 below</w:t>
      </w:r>
      <w:r w:rsidR="00F52F60">
        <w:t>)</w:t>
      </w:r>
      <w:r w:rsidRPr="00A45B31">
        <w:t xml:space="preserve">. Attendance numbers </w:t>
      </w:r>
      <w:r w:rsidR="007B0D86">
        <w:t>are</w:t>
      </w:r>
      <w:r w:rsidRPr="00A45B31">
        <w:t xml:space="preserve"> </w:t>
      </w:r>
      <w:r w:rsidR="00021042">
        <w:t xml:space="preserve">to </w:t>
      </w:r>
      <w:r w:rsidRPr="00A45B31">
        <w:t>be based on previous event attendance</w:t>
      </w:r>
      <w:r w:rsidR="00A71154">
        <w:t xml:space="preserve"> or a</w:t>
      </w:r>
      <w:r w:rsidR="0001548D">
        <w:t xml:space="preserve">n </w:t>
      </w:r>
      <w:r w:rsidR="004B18AA">
        <w:t xml:space="preserve">attendance </w:t>
      </w:r>
      <w:r w:rsidR="00376A2F">
        <w:t xml:space="preserve">estimate </w:t>
      </w:r>
      <w:r w:rsidR="00A71154">
        <w:t>if th</w:t>
      </w:r>
      <w:r w:rsidR="00B96B77">
        <w:t>is is a new</w:t>
      </w:r>
      <w:r w:rsidRPr="00A45B31">
        <w:t>.</w:t>
      </w:r>
    </w:p>
    <w:p w14:paraId="64C93EBD" w14:textId="77777777" w:rsidR="00A45B31" w:rsidRPr="00A45B31" w:rsidRDefault="00A45B31" w:rsidP="00A45B31">
      <w:r w:rsidRPr="00A45B31">
        <w:t>Table 1: Grant value tiers</w:t>
      </w:r>
    </w:p>
    <w:tbl>
      <w:tblPr>
        <w:tblStyle w:val="GridTable4-Accent1"/>
        <w:tblW w:w="5000" w:type="pct"/>
        <w:tblLook w:val="04A0" w:firstRow="1" w:lastRow="0" w:firstColumn="1" w:lastColumn="0" w:noHBand="0" w:noVBand="1"/>
      </w:tblPr>
      <w:tblGrid>
        <w:gridCol w:w="2785"/>
        <w:gridCol w:w="3159"/>
        <w:gridCol w:w="3117"/>
      </w:tblGrid>
      <w:tr w:rsidR="00AD2F76" w:rsidRPr="00AD2F76" w14:paraId="60C2F663" w14:textId="77777777" w:rsidTr="001843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2C1EE610" w14:textId="77777777" w:rsidR="00AD2F76" w:rsidRPr="00AD2F76" w:rsidRDefault="00AD2F76" w:rsidP="002A3310">
            <w:r w:rsidRPr="00AD2F76">
              <w:t>SME Grant Tiers</w:t>
            </w:r>
          </w:p>
        </w:tc>
        <w:tc>
          <w:tcPr>
            <w:tcW w:w="1743" w:type="pct"/>
          </w:tcPr>
          <w:p w14:paraId="386CD020" w14:textId="76407B9D" w:rsidR="00AD2F76" w:rsidRPr="00AD2F76" w:rsidRDefault="00AD2F76" w:rsidP="002A3310">
            <w:pPr>
              <w:cnfStyle w:val="100000000000" w:firstRow="1" w:lastRow="0" w:firstColumn="0" w:lastColumn="0" w:oddVBand="0" w:evenVBand="0" w:oddHBand="0" w:evenHBand="0" w:firstRowFirstColumn="0" w:firstRowLastColumn="0" w:lastRowFirstColumn="0" w:lastRowLastColumn="0"/>
            </w:pPr>
            <w:r w:rsidRPr="00AD2F76">
              <w:t xml:space="preserve">Estimated </w:t>
            </w:r>
            <w:r w:rsidR="002D4D8E">
              <w:t xml:space="preserve">in-person </w:t>
            </w:r>
            <w:r w:rsidRPr="00AD2F76">
              <w:t>attend</w:t>
            </w:r>
            <w:r w:rsidR="002D4D8E">
              <w:t>ees</w:t>
            </w:r>
          </w:p>
        </w:tc>
        <w:tc>
          <w:tcPr>
            <w:tcW w:w="1721" w:type="pct"/>
          </w:tcPr>
          <w:p w14:paraId="41792D13" w14:textId="77777777" w:rsidR="00AD2F76" w:rsidRPr="00AD2F76" w:rsidRDefault="00AD2F76" w:rsidP="002A3310">
            <w:pPr>
              <w:cnfStyle w:val="100000000000" w:firstRow="1" w:lastRow="0" w:firstColumn="0" w:lastColumn="0" w:oddVBand="0" w:evenVBand="0" w:oddHBand="0" w:evenHBand="0" w:firstRowFirstColumn="0" w:firstRowLastColumn="0" w:lastRowFirstColumn="0" w:lastRowLastColumn="0"/>
            </w:pPr>
            <w:r w:rsidRPr="00AD2F76">
              <w:t>Value of grant funding</w:t>
            </w:r>
          </w:p>
        </w:tc>
      </w:tr>
      <w:tr w:rsidR="00AD2F76" w:rsidRPr="00AD2F76" w14:paraId="5EFA92A7" w14:textId="77777777" w:rsidTr="00184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32730E8E" w14:textId="77777777" w:rsidR="00AD2F76" w:rsidRPr="00AD2F76" w:rsidRDefault="00AD2F76" w:rsidP="002A3310">
            <w:r w:rsidRPr="00AD2F76">
              <w:t>Tier 1 – Smaller Events</w:t>
            </w:r>
          </w:p>
        </w:tc>
        <w:tc>
          <w:tcPr>
            <w:tcW w:w="1743" w:type="pct"/>
          </w:tcPr>
          <w:p w14:paraId="03022838" w14:textId="41D87026" w:rsidR="00AD2F76" w:rsidRPr="00AD2F76" w:rsidRDefault="00AD2F76" w:rsidP="002A3310">
            <w:pPr>
              <w:cnfStyle w:val="000000100000" w:firstRow="0" w:lastRow="0" w:firstColumn="0" w:lastColumn="0" w:oddVBand="0" w:evenVBand="0" w:oddHBand="1" w:evenHBand="0" w:firstRowFirstColumn="0" w:firstRowLastColumn="0" w:lastRowFirstColumn="0" w:lastRowLastColumn="0"/>
            </w:pPr>
            <w:r w:rsidRPr="00AD2F76">
              <w:t xml:space="preserve">1,000 – </w:t>
            </w:r>
            <w:r w:rsidR="00D43CFE">
              <w:t>4</w:t>
            </w:r>
            <w:r w:rsidR="00A938FC">
              <w:t>,</w:t>
            </w:r>
            <w:r w:rsidR="00D43CFE">
              <w:t>999</w:t>
            </w:r>
          </w:p>
        </w:tc>
        <w:tc>
          <w:tcPr>
            <w:tcW w:w="1721" w:type="pct"/>
          </w:tcPr>
          <w:p w14:paraId="04CD9C87" w14:textId="77777777" w:rsidR="00AD2F76" w:rsidRPr="00AD2F76" w:rsidRDefault="00AD2F76" w:rsidP="002A3310">
            <w:pPr>
              <w:cnfStyle w:val="000000100000" w:firstRow="0" w:lastRow="0" w:firstColumn="0" w:lastColumn="0" w:oddVBand="0" w:evenVBand="0" w:oddHBand="1" w:evenHBand="0" w:firstRowFirstColumn="0" w:firstRowLastColumn="0" w:lastRowFirstColumn="0" w:lastRowLastColumn="0"/>
            </w:pPr>
            <w:r w:rsidRPr="00AD2F76">
              <w:t>Between $5,000 and $25,000</w:t>
            </w:r>
          </w:p>
        </w:tc>
      </w:tr>
      <w:tr w:rsidR="00AD2F76" w:rsidRPr="00AD2F76" w14:paraId="4CFFDF0D" w14:textId="77777777" w:rsidTr="0018430E">
        <w:tc>
          <w:tcPr>
            <w:cnfStyle w:val="001000000000" w:firstRow="0" w:lastRow="0" w:firstColumn="1" w:lastColumn="0" w:oddVBand="0" w:evenVBand="0" w:oddHBand="0" w:evenHBand="0" w:firstRowFirstColumn="0" w:firstRowLastColumn="0" w:lastRowFirstColumn="0" w:lastRowLastColumn="0"/>
            <w:tcW w:w="1537" w:type="pct"/>
          </w:tcPr>
          <w:p w14:paraId="4DD8F690" w14:textId="77777777" w:rsidR="00AD2F76" w:rsidRPr="00AD2F76" w:rsidRDefault="00AD2F76" w:rsidP="002A3310">
            <w:r w:rsidRPr="00AD2F76">
              <w:t>Tier 2 – Medium Events</w:t>
            </w:r>
          </w:p>
        </w:tc>
        <w:tc>
          <w:tcPr>
            <w:tcW w:w="1743" w:type="pct"/>
          </w:tcPr>
          <w:p w14:paraId="1777BE11" w14:textId="27533520" w:rsidR="00AD2F76" w:rsidRPr="00AD2F76" w:rsidRDefault="00AD2F76" w:rsidP="002A3310">
            <w:pPr>
              <w:cnfStyle w:val="000000000000" w:firstRow="0" w:lastRow="0" w:firstColumn="0" w:lastColumn="0" w:oddVBand="0" w:evenVBand="0" w:oddHBand="0" w:evenHBand="0" w:firstRowFirstColumn="0" w:firstRowLastColumn="0" w:lastRowFirstColumn="0" w:lastRowLastColumn="0"/>
            </w:pPr>
            <w:r w:rsidRPr="00AD2F76">
              <w:t>5,00</w:t>
            </w:r>
            <w:r w:rsidR="00D43CFE">
              <w:t>0</w:t>
            </w:r>
            <w:r w:rsidRPr="00AD2F76">
              <w:t xml:space="preserve"> – 10,000 </w:t>
            </w:r>
          </w:p>
        </w:tc>
        <w:tc>
          <w:tcPr>
            <w:tcW w:w="1721" w:type="pct"/>
          </w:tcPr>
          <w:p w14:paraId="67C35E27" w14:textId="77777777" w:rsidR="00AD2F76" w:rsidRPr="00AD2F76" w:rsidRDefault="00AD2F76" w:rsidP="002A3310">
            <w:pPr>
              <w:cnfStyle w:val="000000000000" w:firstRow="0" w:lastRow="0" w:firstColumn="0" w:lastColumn="0" w:oddVBand="0" w:evenVBand="0" w:oddHBand="0" w:evenHBand="0" w:firstRowFirstColumn="0" w:firstRowLastColumn="0" w:lastRowFirstColumn="0" w:lastRowLastColumn="0"/>
            </w:pPr>
            <w:r w:rsidRPr="00AD2F76">
              <w:t>Between $25,000 and $50,000</w:t>
            </w:r>
          </w:p>
        </w:tc>
      </w:tr>
    </w:tbl>
    <w:p w14:paraId="5A0C80DC" w14:textId="6DD50B88" w:rsidR="00CD58CA" w:rsidRDefault="00CD58CA" w:rsidP="00CD58CA">
      <w:r>
        <w:t xml:space="preserve">Successful applicants will receive </w:t>
      </w:r>
      <w:r w:rsidRPr="00A45B31">
        <w:t>50 per cent of awarded funding upon signing the grant agreement</w:t>
      </w:r>
      <w:r w:rsidR="00BF7310">
        <w:t>. T</w:t>
      </w:r>
      <w:r w:rsidRPr="00A45B31">
        <w:t>he remaining 50 per cent will be provided upon successful delivery of the event</w:t>
      </w:r>
      <w:r>
        <w:t xml:space="preserve"> and completion of any post-event reporting requirements</w:t>
      </w:r>
      <w:r w:rsidRPr="00A45B31">
        <w:t>.</w:t>
      </w:r>
    </w:p>
    <w:p w14:paraId="528CB09C" w14:textId="785849B0" w:rsidR="00B03818" w:rsidRPr="00F5276F" w:rsidRDefault="00B03818" w:rsidP="00B03818">
      <w:pPr>
        <w:rPr>
          <w:color w:val="201547" w:themeColor="text2"/>
          <w:sz w:val="48"/>
          <w:szCs w:val="48"/>
        </w:rPr>
      </w:pPr>
      <w:r>
        <w:t>A</w:t>
      </w:r>
      <w:r w:rsidR="0040771D">
        <w:t>n a</w:t>
      </w:r>
      <w:r>
        <w:t xml:space="preserve">pplicant (as defined by </w:t>
      </w:r>
      <w:r w:rsidR="0040771D">
        <w:t>its</w:t>
      </w:r>
      <w:r>
        <w:t xml:space="preserve"> ABN) may only apply for one grant and only one grant is available per event.</w:t>
      </w:r>
      <w:bookmarkStart w:id="13" w:name="_Toc118725406"/>
      <w:bookmarkEnd w:id="13"/>
    </w:p>
    <w:p w14:paraId="374D92A9" w14:textId="06345F72" w:rsidR="00A45B31" w:rsidRPr="00A45B31" w:rsidRDefault="00A45B31" w:rsidP="00AD2F76">
      <w:pPr>
        <w:pStyle w:val="Heading2"/>
      </w:pPr>
      <w:bookmarkStart w:id="14" w:name="_Toc114643478"/>
      <w:bookmarkStart w:id="15" w:name="_Toc126049418"/>
      <w:r w:rsidRPr="00A45B31">
        <w:t>Funding from other sources and the grant amount</w:t>
      </w:r>
      <w:bookmarkEnd w:id="14"/>
      <w:bookmarkEnd w:id="15"/>
    </w:p>
    <w:p w14:paraId="78FC7B2D" w14:textId="7284B1DF" w:rsidR="00704E5E" w:rsidRPr="00704E5E" w:rsidRDefault="00704E5E" w:rsidP="00600430">
      <w:pPr>
        <w:rPr>
          <w:color w:val="auto"/>
          <w:szCs w:val="18"/>
        </w:rPr>
      </w:pPr>
      <w:r w:rsidRPr="00054AD7">
        <w:rPr>
          <w:b/>
          <w:bCs/>
        </w:rPr>
        <w:t xml:space="preserve">If </w:t>
      </w:r>
      <w:r w:rsidR="00CE73A4">
        <w:rPr>
          <w:b/>
          <w:bCs/>
        </w:rPr>
        <w:t>the event has</w:t>
      </w:r>
      <w:r>
        <w:rPr>
          <w:b/>
          <w:bCs/>
        </w:rPr>
        <w:t xml:space="preserve"> been successful</w:t>
      </w:r>
      <w:r w:rsidRPr="00054AD7">
        <w:rPr>
          <w:b/>
          <w:bCs/>
        </w:rPr>
        <w:t xml:space="preserve"> in receiving any other State Government funding for your event, then </w:t>
      </w:r>
      <w:r w:rsidR="003752D8">
        <w:rPr>
          <w:b/>
          <w:bCs/>
        </w:rPr>
        <w:t xml:space="preserve">it is </w:t>
      </w:r>
      <w:r w:rsidRPr="00054AD7">
        <w:rPr>
          <w:b/>
          <w:bCs/>
        </w:rPr>
        <w:t>ineligible for further funding under the SME program</w:t>
      </w:r>
      <w:r w:rsidRPr="008A12B7">
        <w:t>.</w:t>
      </w:r>
    </w:p>
    <w:p w14:paraId="124B3A00" w14:textId="686435EF" w:rsidR="00A1067C" w:rsidRDefault="00CC6CAE" w:rsidP="00600430">
      <w:pPr>
        <w:rPr>
          <w:szCs w:val="18"/>
        </w:rPr>
      </w:pPr>
      <w:r>
        <w:rPr>
          <w:szCs w:val="18"/>
        </w:rPr>
        <w:t>Funding from t</w:t>
      </w:r>
      <w:r w:rsidR="00A70E47">
        <w:rPr>
          <w:szCs w:val="18"/>
        </w:rPr>
        <w:t>he</w:t>
      </w:r>
      <w:r w:rsidR="00F74666">
        <w:rPr>
          <w:szCs w:val="18"/>
        </w:rPr>
        <w:t xml:space="preserve"> SME </w:t>
      </w:r>
      <w:r w:rsidR="00A70E47">
        <w:rPr>
          <w:szCs w:val="18"/>
        </w:rPr>
        <w:t xml:space="preserve">program </w:t>
      </w:r>
      <w:r w:rsidR="004D3EF2">
        <w:rPr>
          <w:szCs w:val="18"/>
        </w:rPr>
        <w:t>may</w:t>
      </w:r>
      <w:r w:rsidR="00F74666">
        <w:rPr>
          <w:szCs w:val="18"/>
        </w:rPr>
        <w:t xml:space="preserve"> </w:t>
      </w:r>
      <w:r>
        <w:rPr>
          <w:szCs w:val="18"/>
        </w:rPr>
        <w:t xml:space="preserve">be used to </w:t>
      </w:r>
      <w:r w:rsidR="00A70E47">
        <w:rPr>
          <w:szCs w:val="18"/>
        </w:rPr>
        <w:t>compl</w:t>
      </w:r>
      <w:r>
        <w:rPr>
          <w:szCs w:val="18"/>
        </w:rPr>
        <w:t>e</w:t>
      </w:r>
      <w:r w:rsidR="00A70E47">
        <w:rPr>
          <w:szCs w:val="18"/>
        </w:rPr>
        <w:t>ment</w:t>
      </w:r>
      <w:r w:rsidR="00F74666">
        <w:rPr>
          <w:szCs w:val="18"/>
        </w:rPr>
        <w:t xml:space="preserve"> </w:t>
      </w:r>
      <w:r w:rsidR="003752D8">
        <w:rPr>
          <w:szCs w:val="18"/>
        </w:rPr>
        <w:t xml:space="preserve">other non-Victorian Government </w:t>
      </w:r>
      <w:r w:rsidR="00DE05B0">
        <w:rPr>
          <w:szCs w:val="18"/>
        </w:rPr>
        <w:t>investment in an event. Applicants</w:t>
      </w:r>
      <w:r w:rsidR="007E49DB" w:rsidRPr="007E49DB">
        <w:rPr>
          <w:szCs w:val="18"/>
        </w:rPr>
        <w:t xml:space="preserve"> will need to match the funding requested to at least a 1:1 ratio.</w:t>
      </w:r>
      <w:r w:rsidR="00A966D1">
        <w:rPr>
          <w:szCs w:val="18"/>
        </w:rPr>
        <w:t xml:space="preserve"> Grants are capped based on event size </w:t>
      </w:r>
      <w:r w:rsidR="007D790A">
        <w:rPr>
          <w:szCs w:val="18"/>
        </w:rPr>
        <w:t xml:space="preserve">and </w:t>
      </w:r>
      <w:r w:rsidR="00A966D1">
        <w:rPr>
          <w:szCs w:val="18"/>
        </w:rPr>
        <w:t xml:space="preserve">estimated attendance. </w:t>
      </w:r>
    </w:p>
    <w:p w14:paraId="210F03E6" w14:textId="34E7E1F6" w:rsidR="008A12B7" w:rsidRPr="008A12B7" w:rsidRDefault="008A12B7" w:rsidP="008A12B7">
      <w:pPr>
        <w:rPr>
          <w:rFonts w:ascii="Calibri" w:hAnsi="Calibri"/>
          <w:sz w:val="22"/>
          <w:szCs w:val="22"/>
        </w:rPr>
      </w:pPr>
      <w:r w:rsidRPr="008A12B7">
        <w:t xml:space="preserve">All income that does not come from the Victorian State Government can be counted towards the applicant contribution, including Federal or Local Government funding, ticket sales and sponsorships. </w:t>
      </w:r>
    </w:p>
    <w:p w14:paraId="246AEDF4" w14:textId="77777777" w:rsidR="009468E1" w:rsidRDefault="009468E1" w:rsidP="009468E1">
      <w:pPr>
        <w:rPr>
          <w:rFonts w:ascii="Calibri" w:hAnsi="Calibri"/>
          <w:color w:val="auto"/>
          <w:sz w:val="22"/>
        </w:rPr>
      </w:pPr>
      <w:r>
        <w:rPr>
          <w:b/>
          <w:bCs/>
        </w:rPr>
        <w:t>Example 1:</w:t>
      </w:r>
      <w:r>
        <w:t xml:space="preserve"> If your event is expected to have 3000 people, and you request $15,000 in grant funding from the SME program, you must contribute at least $15,000. This contribution can come from funding sources including but not limited to Federal or Local Government grants, sponsorship or ticketing sales revenue.</w:t>
      </w:r>
    </w:p>
    <w:p w14:paraId="29100D28" w14:textId="77777777" w:rsidR="009468E1" w:rsidRDefault="009468E1" w:rsidP="009468E1">
      <w:r>
        <w:rPr>
          <w:b/>
          <w:bCs/>
        </w:rPr>
        <w:t xml:space="preserve">Example 2: </w:t>
      </w:r>
      <w:r>
        <w:t>If your event is expected to have 8500 people, and you request $30,000 in grant funding from the SME program, you must contribute at least $30,000. This contribution can come from funding sources including but not limited to Federal or Local Government grants, sponsorship or ticketing sales revenue.</w:t>
      </w:r>
    </w:p>
    <w:p w14:paraId="1723A925" w14:textId="13F2019C" w:rsidR="00323AA8" w:rsidRDefault="003D5049" w:rsidP="00A45B31">
      <w:r w:rsidRPr="003D5049">
        <w:t xml:space="preserve"> </w:t>
      </w:r>
    </w:p>
    <w:p w14:paraId="48258621" w14:textId="1F70D3FA" w:rsidR="004371F6" w:rsidRDefault="00CA0EA8" w:rsidP="00A45B31">
      <w:pPr>
        <w:pStyle w:val="Heading1"/>
      </w:pPr>
      <w:bookmarkStart w:id="16" w:name="_Toc114643479"/>
      <w:bookmarkStart w:id="17" w:name="_Toc126049419"/>
      <w:r>
        <w:lastRenderedPageBreak/>
        <w:t>Eligibility Criteria</w:t>
      </w:r>
      <w:bookmarkEnd w:id="16"/>
      <w:bookmarkEnd w:id="17"/>
    </w:p>
    <w:p w14:paraId="3226C3DD" w14:textId="77777777" w:rsidR="0058570E" w:rsidRPr="0058570E" w:rsidRDefault="0058570E" w:rsidP="0058570E">
      <w:pPr>
        <w:pStyle w:val="Heading2"/>
      </w:pPr>
      <w:bookmarkStart w:id="18" w:name="_Toc114643480"/>
      <w:bookmarkStart w:id="19" w:name="_Toc126049420"/>
      <w:bookmarkStart w:id="20" w:name="_Toc314821342"/>
      <w:bookmarkStart w:id="21" w:name="_Toc314822264"/>
      <w:bookmarkStart w:id="22" w:name="_Toc315765094"/>
      <w:r w:rsidRPr="0058570E">
        <w:t>Eligible applicants</w:t>
      </w:r>
      <w:bookmarkEnd w:id="18"/>
      <w:bookmarkEnd w:id="19"/>
    </w:p>
    <w:p w14:paraId="021C3512" w14:textId="77777777" w:rsidR="00970877" w:rsidRPr="00970877" w:rsidRDefault="00970877" w:rsidP="00970877">
      <w:bookmarkStart w:id="23" w:name="_Toc315765096"/>
      <w:bookmarkEnd w:id="20"/>
      <w:bookmarkEnd w:id="21"/>
      <w:bookmarkEnd w:id="22"/>
      <w:r w:rsidRPr="00970877">
        <w:t>Applicant organisations must meet the following criteria to be eligible:</w:t>
      </w:r>
    </w:p>
    <w:p w14:paraId="0F2C9DE0" w14:textId="77777777" w:rsidR="00970877" w:rsidRPr="00970877" w:rsidRDefault="00970877" w:rsidP="00970877">
      <w:pPr>
        <w:pStyle w:val="ListParagraph"/>
      </w:pPr>
      <w:r w:rsidRPr="00970877">
        <w:t>be the event organiser with the right to hold, collect the proceeds from ticket sales, and/or re-schedule the event that is the subject of the application</w:t>
      </w:r>
    </w:p>
    <w:p w14:paraId="65E5DB85" w14:textId="12332190" w:rsidR="00C07F23" w:rsidRDefault="00C07F23" w:rsidP="00C07F23">
      <w:pPr>
        <w:pStyle w:val="ListParagraph"/>
      </w:pPr>
      <w:r>
        <w:t xml:space="preserve">hold an active Australian Business Number (ABN) registered in Victoria and have held that ABN on </w:t>
      </w:r>
      <w:r w:rsidR="00042879">
        <w:t>and</w:t>
      </w:r>
      <w:r w:rsidR="00102E4A">
        <w:t xml:space="preserve"> </w:t>
      </w:r>
      <w:r w:rsidR="00D402AD">
        <w:t>from</w:t>
      </w:r>
      <w:r w:rsidR="00102E4A">
        <w:t xml:space="preserve"> </w:t>
      </w:r>
      <w:r>
        <w:t>1 July 2022</w:t>
      </w:r>
      <w:r w:rsidR="009E5A50">
        <w:rPr>
          <w:rStyle w:val="FootnoteReference"/>
        </w:rPr>
        <w:footnoteReference w:id="2"/>
      </w:r>
    </w:p>
    <w:p w14:paraId="599F435B" w14:textId="7F51D96B" w:rsidR="00970877" w:rsidRPr="00970877" w:rsidRDefault="00970877">
      <w:pPr>
        <w:pStyle w:val="ListParagraph"/>
      </w:pPr>
      <w:r>
        <w:t xml:space="preserve">agree to participate in </w:t>
      </w:r>
      <w:r w:rsidR="00E7569E">
        <w:t xml:space="preserve">an </w:t>
      </w:r>
      <w:r>
        <w:t>evaluation of the program.</w:t>
      </w:r>
    </w:p>
    <w:p w14:paraId="53459E61" w14:textId="77777777" w:rsidR="00970877" w:rsidRPr="00970877" w:rsidRDefault="00970877" w:rsidP="00970877">
      <w:r w:rsidRPr="00970877">
        <w:t xml:space="preserve">Applicants can be the following entity types: </w:t>
      </w:r>
    </w:p>
    <w:p w14:paraId="30D9CF5F" w14:textId="77777777" w:rsidR="00970877" w:rsidRPr="00970877" w:rsidRDefault="00970877" w:rsidP="00970877">
      <w:pPr>
        <w:pStyle w:val="ListParagraph"/>
      </w:pPr>
      <w:r>
        <w:t xml:space="preserve">a private sector company  </w:t>
      </w:r>
    </w:p>
    <w:p w14:paraId="2EF54B13" w14:textId="77777777" w:rsidR="00970877" w:rsidRPr="00970877" w:rsidRDefault="00970877" w:rsidP="00970877">
      <w:pPr>
        <w:pStyle w:val="ListParagraph"/>
      </w:pPr>
      <w:r>
        <w:t>a not-for-profit or registered charitable organisation that is an incorporated body or association</w:t>
      </w:r>
    </w:p>
    <w:p w14:paraId="134DF065" w14:textId="4AF6B9F4" w:rsidR="00970877" w:rsidRPr="00970877" w:rsidRDefault="00970877" w:rsidP="00970877">
      <w:pPr>
        <w:pStyle w:val="ListParagraph"/>
      </w:pPr>
      <w:r>
        <w:t>an incorporated trustee on behalf of a trust provided that the trustee:</w:t>
      </w:r>
    </w:p>
    <w:p w14:paraId="300C1A06" w14:textId="2730FAF8" w:rsidR="00970877" w:rsidRPr="00970877" w:rsidRDefault="00970877" w:rsidP="00C45090">
      <w:pPr>
        <w:pStyle w:val="ListParagraph"/>
        <w:numPr>
          <w:ilvl w:val="1"/>
          <w:numId w:val="6"/>
        </w:numPr>
      </w:pPr>
      <w:r w:rsidRPr="00970877">
        <w:t>under the trust deed, has the ability to enter into the grant agreement in its capacity as trustee and</w:t>
      </w:r>
    </w:p>
    <w:p w14:paraId="5B4F2F05" w14:textId="77777777" w:rsidR="00970877" w:rsidRPr="00970877" w:rsidRDefault="00970877" w:rsidP="00C45090">
      <w:pPr>
        <w:pStyle w:val="ListParagraph"/>
        <w:numPr>
          <w:ilvl w:val="1"/>
          <w:numId w:val="6"/>
        </w:numPr>
      </w:pPr>
      <w:r w:rsidRPr="00970877">
        <w:t>is entitled to be indemnified from the trust funds in connection with performance of the grant agreement.</w:t>
      </w:r>
    </w:p>
    <w:p w14:paraId="2569987F" w14:textId="498B4326" w:rsidR="00377EE6" w:rsidRDefault="00377EE6" w:rsidP="00377EE6">
      <w:pPr>
        <w:pStyle w:val="Heading2"/>
      </w:pPr>
      <w:bookmarkStart w:id="24" w:name="_Toc114643481"/>
      <w:bookmarkStart w:id="25" w:name="_Toc126049421"/>
      <w:bookmarkStart w:id="26" w:name="_Toc161826024"/>
      <w:bookmarkStart w:id="27" w:name="_Toc317855607"/>
      <w:bookmarkStart w:id="28" w:name="_Toc314822267"/>
      <w:bookmarkEnd w:id="23"/>
      <w:r>
        <w:t>Ine</w:t>
      </w:r>
      <w:r w:rsidRPr="0058570E">
        <w:t>ligible applicants</w:t>
      </w:r>
      <w:bookmarkEnd w:id="24"/>
      <w:bookmarkEnd w:id="25"/>
    </w:p>
    <w:p w14:paraId="734C4620" w14:textId="141DD5A0" w:rsidR="000A457B" w:rsidRPr="00970877" w:rsidRDefault="009E75BC" w:rsidP="000A457B">
      <w:r>
        <w:t>The following a</w:t>
      </w:r>
      <w:r w:rsidR="000A457B" w:rsidRPr="00970877">
        <w:t xml:space="preserve">pplicant organisations </w:t>
      </w:r>
      <w:r>
        <w:t xml:space="preserve">are not </w:t>
      </w:r>
      <w:r w:rsidR="000A457B" w:rsidRPr="00970877">
        <w:t>eligible</w:t>
      </w:r>
      <w:r>
        <w:t xml:space="preserve"> to apply for funding: </w:t>
      </w:r>
    </w:p>
    <w:p w14:paraId="02205C55" w14:textId="6F085EDE" w:rsidR="00B65211" w:rsidRDefault="00B65211" w:rsidP="00B65211">
      <w:pPr>
        <w:pStyle w:val="ListParagraph"/>
      </w:pPr>
      <w:r>
        <w:t>a Commonwealth department, agency or body</w:t>
      </w:r>
    </w:p>
    <w:p w14:paraId="2E82D636" w14:textId="2F2C605D" w:rsidR="00B65211" w:rsidRDefault="00B65211" w:rsidP="00B65211">
      <w:pPr>
        <w:pStyle w:val="ListParagraph"/>
      </w:pPr>
      <w:r>
        <w:t xml:space="preserve">a State department, agency, entity or other body established under the </w:t>
      </w:r>
      <w:r w:rsidRPr="3F61E26E">
        <w:rPr>
          <w:i/>
          <w:iCs/>
        </w:rPr>
        <w:t xml:space="preserve">Public Administration Act 2004 (VIC) </w:t>
      </w:r>
      <w:r>
        <w:t>or equivalent legislation of another Australian jurisdiction</w:t>
      </w:r>
    </w:p>
    <w:p w14:paraId="2B67D57B" w14:textId="5479910C" w:rsidR="00B65211" w:rsidRDefault="00B65211" w:rsidP="00B65211">
      <w:pPr>
        <w:pStyle w:val="ListParagraph"/>
      </w:pPr>
      <w:r>
        <w:t>a Local Government Authority</w:t>
      </w:r>
    </w:p>
    <w:p w14:paraId="76A05886" w14:textId="4611AD11" w:rsidR="00F54C12" w:rsidRDefault="00F54C12" w:rsidP="00F54C12">
      <w:pPr>
        <w:pStyle w:val="Heading2"/>
      </w:pPr>
      <w:bookmarkStart w:id="29" w:name="_Toc114643482"/>
      <w:bookmarkStart w:id="30" w:name="_Toc126049422"/>
      <w:bookmarkEnd w:id="26"/>
      <w:bookmarkEnd w:id="27"/>
      <w:r>
        <w:t>Event eligibility</w:t>
      </w:r>
      <w:bookmarkEnd w:id="29"/>
      <w:bookmarkEnd w:id="30"/>
    </w:p>
    <w:p w14:paraId="587E43AE" w14:textId="127D914E" w:rsidR="00A5528D" w:rsidRDefault="00E556F2" w:rsidP="0018430E">
      <w:pPr>
        <w:rPr>
          <w:rFonts w:ascii="Calibri" w:hAnsi="Calibri"/>
          <w:color w:val="auto"/>
          <w:sz w:val="22"/>
        </w:rPr>
      </w:pPr>
      <w:r>
        <w:t>The event must be publicly accessible</w:t>
      </w:r>
      <w:r w:rsidR="00471554">
        <w:t>.</w:t>
      </w:r>
      <w:r>
        <w:t xml:space="preserve"> It must be able to be demonstrated that the event is of significant </w:t>
      </w:r>
      <w:r w:rsidR="00677123">
        <w:t>economic</w:t>
      </w:r>
      <w:r w:rsidR="00017814">
        <w:t xml:space="preserve">, </w:t>
      </w:r>
      <w:r w:rsidR="00F62EC6">
        <w:t xml:space="preserve">social </w:t>
      </w:r>
      <w:r w:rsidR="00017814">
        <w:t xml:space="preserve">or community </w:t>
      </w:r>
      <w:r>
        <w:t>value to the local area or to Victoria</w:t>
      </w:r>
      <w:r w:rsidR="000934F5">
        <w:t xml:space="preserve"> </w:t>
      </w:r>
      <w:r w:rsidR="000934F5" w:rsidRPr="0018430E">
        <w:t xml:space="preserve">and is a </w:t>
      </w:r>
      <w:r w:rsidR="000934F5">
        <w:t>creative, cultural or community sporting event</w:t>
      </w:r>
      <w:r w:rsidR="00A5528D">
        <w:t>.</w:t>
      </w:r>
    </w:p>
    <w:p w14:paraId="5DDE65C6" w14:textId="77777777" w:rsidR="00FD024B" w:rsidRDefault="00FD024B" w:rsidP="00FD024B">
      <w:pPr>
        <w:pStyle w:val="ListBullet1"/>
        <w:numPr>
          <w:ilvl w:val="0"/>
          <w:numId w:val="0"/>
        </w:numPr>
      </w:pPr>
      <w:r>
        <w:t>The event must:</w:t>
      </w:r>
    </w:p>
    <w:p w14:paraId="37F333EC" w14:textId="7DA99C9B" w:rsidR="00FD024B" w:rsidRDefault="00FD024B" w:rsidP="00FD024B">
      <w:pPr>
        <w:pStyle w:val="ListParagraph"/>
      </w:pPr>
      <w:r>
        <w:t xml:space="preserve">be a primarily in–person event with estimated </w:t>
      </w:r>
      <w:r w:rsidR="001C38C0">
        <w:t>in</w:t>
      </w:r>
      <w:r w:rsidR="00F36A2C">
        <w:t>-</w:t>
      </w:r>
      <w:r w:rsidR="001C38C0">
        <w:t xml:space="preserve">person </w:t>
      </w:r>
      <w:r>
        <w:t>attendees between 1,000 - 10,000 over its full duration. Any online attendees cannot be counted towards the overall attendance number of the event</w:t>
      </w:r>
    </w:p>
    <w:p w14:paraId="081BBA28" w14:textId="1401A864" w:rsidR="00FD024B" w:rsidRPr="0018430E" w:rsidRDefault="00FD024B" w:rsidP="00FD024B">
      <w:pPr>
        <w:pStyle w:val="ListParagraph"/>
        <w:rPr>
          <w:color w:val="auto"/>
        </w:rPr>
      </w:pPr>
      <w:r>
        <w:t xml:space="preserve">be held </w:t>
      </w:r>
      <w:r w:rsidRPr="0018430E">
        <w:rPr>
          <w:color w:val="auto"/>
        </w:rPr>
        <w:t xml:space="preserve">between </w:t>
      </w:r>
      <w:r w:rsidR="0026263C" w:rsidRPr="0018430E">
        <w:rPr>
          <w:color w:val="auto"/>
        </w:rPr>
        <w:t>1 June 2023 and 31 December 2023</w:t>
      </w:r>
    </w:p>
    <w:p w14:paraId="2AC146B5" w14:textId="77777777" w:rsidR="00FD024B" w:rsidRDefault="00FD024B" w:rsidP="00FD024B">
      <w:pPr>
        <w:pStyle w:val="ListParagraph"/>
      </w:pPr>
      <w:r>
        <w:lastRenderedPageBreak/>
        <w:t>comply with all event planning requirements of the host Local Government, including obtaining appropriate event permits (as required)</w:t>
      </w:r>
    </w:p>
    <w:p w14:paraId="53C24DBE" w14:textId="6A04175A" w:rsidR="00FD024B" w:rsidRDefault="00FD024B" w:rsidP="00FD024B">
      <w:pPr>
        <w:pStyle w:val="ListParagraph"/>
      </w:pPr>
      <w:r>
        <w:t>have a minimum of $20 million public liability insurance and other relevant insurance</w:t>
      </w:r>
      <w:r w:rsidR="001C38C0">
        <w:t>s</w:t>
      </w:r>
      <w:r>
        <w:t>.</w:t>
      </w:r>
    </w:p>
    <w:p w14:paraId="4EBEFE66" w14:textId="540575CD" w:rsidR="00E556F2" w:rsidRDefault="00E556F2" w:rsidP="00244DC6">
      <w:pPr>
        <w:pStyle w:val="ListBullet1"/>
        <w:numPr>
          <w:ilvl w:val="0"/>
          <w:numId w:val="0"/>
        </w:numPr>
      </w:pPr>
      <w:r>
        <w:t>A publicly accessible event is</w:t>
      </w:r>
      <w:r w:rsidR="000F6681">
        <w:t xml:space="preserve"> defined by</w:t>
      </w:r>
      <w:r>
        <w:t>:</w:t>
      </w:r>
    </w:p>
    <w:p w14:paraId="10327EA0" w14:textId="09248E92" w:rsidR="00E556F2" w:rsidRDefault="00E556F2" w:rsidP="004C2E84">
      <w:pPr>
        <w:pStyle w:val="ListParagraph"/>
        <w:spacing w:before="240"/>
      </w:pPr>
      <w:r>
        <w:t>a temporary</w:t>
      </w:r>
      <w:r w:rsidR="00DD1D6A">
        <w:t>,</w:t>
      </w:r>
      <w:r>
        <w:t xml:space="preserve"> organised public gathering where people physically gather for a common purpose</w:t>
      </w:r>
      <w:r w:rsidR="00F30078">
        <w:t>. Hybrid</w:t>
      </w:r>
      <w:r w:rsidR="00C20B5E">
        <w:t xml:space="preserve"> </w:t>
      </w:r>
      <w:r w:rsidR="004C2E84">
        <w:t>(</w:t>
      </w:r>
      <w:r w:rsidR="00853A4B">
        <w:t>in</w:t>
      </w:r>
      <w:r w:rsidR="00D41302">
        <w:t>-</w:t>
      </w:r>
      <w:r w:rsidR="00853A4B">
        <w:t xml:space="preserve">person plus </w:t>
      </w:r>
      <w:r w:rsidR="004C2E84">
        <w:t>online) events are eligible for accessibility reasons,</w:t>
      </w:r>
      <w:r w:rsidR="00C20B5E">
        <w:t xml:space="preserve"> but</w:t>
      </w:r>
      <w:r w:rsidR="004C2E84">
        <w:t xml:space="preserve"> the event</w:t>
      </w:r>
      <w:r w:rsidR="00C20B5E">
        <w:t xml:space="preserve"> cannot be completely virtual</w:t>
      </w:r>
    </w:p>
    <w:p w14:paraId="7C30855B" w14:textId="63931701" w:rsidR="00E556F2" w:rsidRDefault="00E556F2" w:rsidP="00244DC6">
      <w:pPr>
        <w:pStyle w:val="ListParagraph"/>
      </w:pPr>
      <w:r>
        <w:t>available to the public and publicly advertised, whether ticketed or not</w:t>
      </w:r>
    </w:p>
    <w:p w14:paraId="6C78EDF7" w14:textId="54F68390" w:rsidR="00E556F2" w:rsidRDefault="00E556F2" w:rsidP="00244DC6">
      <w:pPr>
        <w:pStyle w:val="ListParagraph"/>
      </w:pPr>
      <w:r>
        <w:t xml:space="preserve">held as a standalone event across one </w:t>
      </w:r>
      <w:r w:rsidR="00A343A6">
        <w:t>day or</w:t>
      </w:r>
      <w:r>
        <w:t xml:space="preserve"> </w:t>
      </w:r>
      <w:r w:rsidR="00017814">
        <w:t xml:space="preserve">held as </w:t>
      </w:r>
      <w:r>
        <w:t>a series of two or more event</w:t>
      </w:r>
      <w:r w:rsidR="00017814">
        <w:t xml:space="preserve"> days</w:t>
      </w:r>
      <w:r w:rsidR="00A343A6">
        <w:t xml:space="preserve"> </w:t>
      </w:r>
      <w:r>
        <w:t>across a weekend or month</w:t>
      </w:r>
    </w:p>
    <w:p w14:paraId="764E0AF2" w14:textId="7E329DA7" w:rsidR="00E556F2" w:rsidRDefault="00096B5F" w:rsidP="00244DC6">
      <w:pPr>
        <w:pStyle w:val="ListParagraph"/>
      </w:pPr>
      <w:r>
        <w:t>the even</w:t>
      </w:r>
      <w:r w:rsidR="000073C0">
        <w:t>t</w:t>
      </w:r>
      <w:r w:rsidR="00E856B9">
        <w:t xml:space="preserve"> h</w:t>
      </w:r>
      <w:r w:rsidR="000B0BAF">
        <w:t>as a</w:t>
      </w:r>
      <w:r w:rsidR="00A343A6">
        <w:t xml:space="preserve"> positive</w:t>
      </w:r>
      <w:r w:rsidR="000073C0">
        <w:t xml:space="preserve"> impact</w:t>
      </w:r>
      <w:r w:rsidR="000B0BAF">
        <w:t xml:space="preserve"> on</w:t>
      </w:r>
      <w:r w:rsidR="00E556F2">
        <w:t xml:space="preserve"> </w:t>
      </w:r>
      <w:r w:rsidR="00FA2CF6">
        <w:t xml:space="preserve">the surrounding </w:t>
      </w:r>
      <w:r w:rsidR="00E556F2">
        <w:t xml:space="preserve">community </w:t>
      </w:r>
      <w:r w:rsidR="004C2E84">
        <w:t>e.g., by supporting</w:t>
      </w:r>
      <w:r w:rsidR="000B0BAF">
        <w:t xml:space="preserve"> </w:t>
      </w:r>
      <w:r w:rsidR="00CE537E">
        <w:t>local businesses</w:t>
      </w:r>
      <w:r w:rsidR="00E556F2">
        <w:t>.</w:t>
      </w:r>
    </w:p>
    <w:p w14:paraId="19887549" w14:textId="42EAA549" w:rsidR="00244DC6" w:rsidRDefault="00244DC6" w:rsidP="00244DC6">
      <w:pPr>
        <w:pStyle w:val="Heading2"/>
      </w:pPr>
      <w:bookmarkStart w:id="31" w:name="_Toc114643483"/>
      <w:bookmarkStart w:id="32" w:name="_Toc126049423"/>
      <w:r>
        <w:t>Eligible areas</w:t>
      </w:r>
      <w:bookmarkEnd w:id="31"/>
      <w:bookmarkEnd w:id="32"/>
    </w:p>
    <w:p w14:paraId="4C26F132" w14:textId="77777777" w:rsidR="00C464B4" w:rsidRDefault="00C464B4" w:rsidP="00C464B4">
      <w:r>
        <w:t>The event must be held in one (or more) of the following 31 Local Government Areas (LGAs) in Greater Melbourne:</w:t>
      </w:r>
    </w:p>
    <w:tbl>
      <w:tblPr>
        <w:tblStyle w:val="GridTable4-Accent1"/>
        <w:tblW w:w="5000" w:type="pct"/>
        <w:tblLook w:val="0400" w:firstRow="0" w:lastRow="0" w:firstColumn="0" w:lastColumn="0" w:noHBand="0" w:noVBand="1"/>
      </w:tblPr>
      <w:tblGrid>
        <w:gridCol w:w="2450"/>
        <w:gridCol w:w="3175"/>
        <w:gridCol w:w="3436"/>
      </w:tblGrid>
      <w:tr w:rsidR="007D5834" w14:paraId="734868F4" w14:textId="77777777" w:rsidTr="00A50A63">
        <w:trPr>
          <w:cnfStyle w:val="000000100000" w:firstRow="0" w:lastRow="0" w:firstColumn="0" w:lastColumn="0" w:oddVBand="0" w:evenVBand="0" w:oddHBand="1" w:evenHBand="0" w:firstRowFirstColumn="0" w:firstRowLastColumn="0" w:lastRowFirstColumn="0" w:lastRowLastColumn="0"/>
        </w:trPr>
        <w:tc>
          <w:tcPr>
            <w:tcW w:w="1352" w:type="pct"/>
          </w:tcPr>
          <w:p w14:paraId="6B124F7F" w14:textId="3163B4F2" w:rsidR="007D5834" w:rsidRDefault="007D5834" w:rsidP="007D5834">
            <w:r w:rsidRPr="000F2C91">
              <w:t xml:space="preserve">Banyule City Council </w:t>
            </w:r>
          </w:p>
        </w:tc>
        <w:tc>
          <w:tcPr>
            <w:tcW w:w="1752" w:type="pct"/>
          </w:tcPr>
          <w:p w14:paraId="3880B74B" w14:textId="284D0774" w:rsidR="007D5834" w:rsidRDefault="007D5834" w:rsidP="007D5834">
            <w:r w:rsidRPr="00DF5A30">
              <w:t xml:space="preserve">Greater Dandenong City Council </w:t>
            </w:r>
          </w:p>
        </w:tc>
        <w:tc>
          <w:tcPr>
            <w:tcW w:w="1896" w:type="pct"/>
          </w:tcPr>
          <w:p w14:paraId="3D049156" w14:textId="6FB6B4AF" w:rsidR="007D5834" w:rsidRDefault="00A50A63" w:rsidP="007D5834">
            <w:r>
              <w:t>Mitchell Shire Council</w:t>
            </w:r>
          </w:p>
        </w:tc>
      </w:tr>
      <w:tr w:rsidR="00A50A63" w14:paraId="311B2833" w14:textId="77777777" w:rsidTr="00A50A63">
        <w:tc>
          <w:tcPr>
            <w:tcW w:w="1352" w:type="pct"/>
          </w:tcPr>
          <w:p w14:paraId="3BEF5B3E" w14:textId="3320EA3A" w:rsidR="00A50A63" w:rsidRDefault="00A50A63" w:rsidP="00A50A63">
            <w:r w:rsidRPr="000F2C91">
              <w:t xml:space="preserve">Bayside City Council </w:t>
            </w:r>
          </w:p>
        </w:tc>
        <w:tc>
          <w:tcPr>
            <w:tcW w:w="1752" w:type="pct"/>
          </w:tcPr>
          <w:p w14:paraId="688C2413" w14:textId="2E23C3FC" w:rsidR="00A50A63" w:rsidRDefault="00A50A63" w:rsidP="00A50A63">
            <w:r w:rsidRPr="00DF5A30">
              <w:t xml:space="preserve">Hobsons Bay City Council </w:t>
            </w:r>
          </w:p>
        </w:tc>
        <w:tc>
          <w:tcPr>
            <w:tcW w:w="1896" w:type="pct"/>
          </w:tcPr>
          <w:p w14:paraId="6350E2D6" w14:textId="444AAB59" w:rsidR="00A50A63" w:rsidRDefault="00A50A63" w:rsidP="00A50A63">
            <w:r>
              <w:t xml:space="preserve">Monash City Council </w:t>
            </w:r>
          </w:p>
        </w:tc>
      </w:tr>
      <w:tr w:rsidR="00A50A63" w14:paraId="020A5CC5" w14:textId="77777777" w:rsidTr="00A50A63">
        <w:trPr>
          <w:cnfStyle w:val="000000100000" w:firstRow="0" w:lastRow="0" w:firstColumn="0" w:lastColumn="0" w:oddVBand="0" w:evenVBand="0" w:oddHBand="1" w:evenHBand="0" w:firstRowFirstColumn="0" w:firstRowLastColumn="0" w:lastRowFirstColumn="0" w:lastRowLastColumn="0"/>
        </w:trPr>
        <w:tc>
          <w:tcPr>
            <w:tcW w:w="1352" w:type="pct"/>
          </w:tcPr>
          <w:p w14:paraId="79E1FB0D" w14:textId="2CBC70F2" w:rsidR="00A50A63" w:rsidRDefault="00A50A63" w:rsidP="00A50A63">
            <w:r w:rsidRPr="000F2C91">
              <w:t xml:space="preserve">Boroondara City Council </w:t>
            </w:r>
          </w:p>
        </w:tc>
        <w:tc>
          <w:tcPr>
            <w:tcW w:w="1752" w:type="pct"/>
          </w:tcPr>
          <w:p w14:paraId="6D690959" w14:textId="2D226208" w:rsidR="00A50A63" w:rsidRDefault="00A50A63" w:rsidP="00A50A63">
            <w:r w:rsidRPr="00DF5A30">
              <w:t xml:space="preserve">Hume City Council </w:t>
            </w:r>
          </w:p>
        </w:tc>
        <w:tc>
          <w:tcPr>
            <w:tcW w:w="1896" w:type="pct"/>
          </w:tcPr>
          <w:p w14:paraId="71987D43" w14:textId="7F9C54B6" w:rsidR="00A50A63" w:rsidRDefault="00A50A63" w:rsidP="00A50A63">
            <w:r w:rsidRPr="005264B9">
              <w:t xml:space="preserve">Moonee Valley City Council </w:t>
            </w:r>
          </w:p>
        </w:tc>
      </w:tr>
      <w:tr w:rsidR="00A50A63" w14:paraId="65F89880" w14:textId="77777777" w:rsidTr="00A50A63">
        <w:tc>
          <w:tcPr>
            <w:tcW w:w="1352" w:type="pct"/>
          </w:tcPr>
          <w:p w14:paraId="6295948E" w14:textId="142CDFB6" w:rsidR="00A50A63" w:rsidRDefault="00A50A63" w:rsidP="00A50A63">
            <w:r w:rsidRPr="000F2C91">
              <w:t>Brimbank</w:t>
            </w:r>
            <w:r w:rsidRPr="000F2C91">
              <w:rPr>
                <w:rFonts w:ascii="Times New Roman" w:hAnsi="Times New Roman"/>
              </w:rPr>
              <w:t> </w:t>
            </w:r>
            <w:r w:rsidRPr="000F2C91">
              <w:t xml:space="preserve">City Council </w:t>
            </w:r>
          </w:p>
        </w:tc>
        <w:tc>
          <w:tcPr>
            <w:tcW w:w="1752" w:type="pct"/>
          </w:tcPr>
          <w:p w14:paraId="1F710520" w14:textId="1B178B53" w:rsidR="00A50A63" w:rsidRDefault="00A50A63" w:rsidP="00A50A63">
            <w:r w:rsidRPr="00DF5A30">
              <w:t xml:space="preserve">Kingston City Council </w:t>
            </w:r>
          </w:p>
        </w:tc>
        <w:tc>
          <w:tcPr>
            <w:tcW w:w="1896" w:type="pct"/>
          </w:tcPr>
          <w:p w14:paraId="4DDE5891" w14:textId="04B24555" w:rsidR="00A50A63" w:rsidRDefault="00A50A63" w:rsidP="00A50A63">
            <w:r w:rsidRPr="005264B9">
              <w:t xml:space="preserve">Mornington Peninsula Shire Council </w:t>
            </w:r>
          </w:p>
        </w:tc>
      </w:tr>
      <w:tr w:rsidR="00A50A63" w14:paraId="37CEBD81" w14:textId="77777777" w:rsidTr="00A50A63">
        <w:trPr>
          <w:cnfStyle w:val="000000100000" w:firstRow="0" w:lastRow="0" w:firstColumn="0" w:lastColumn="0" w:oddVBand="0" w:evenVBand="0" w:oddHBand="1" w:evenHBand="0" w:firstRowFirstColumn="0" w:firstRowLastColumn="0" w:lastRowFirstColumn="0" w:lastRowLastColumn="0"/>
        </w:trPr>
        <w:tc>
          <w:tcPr>
            <w:tcW w:w="1352" w:type="pct"/>
          </w:tcPr>
          <w:p w14:paraId="0CFF60F0" w14:textId="42CA6A61" w:rsidR="00A50A63" w:rsidRDefault="00A50A63" w:rsidP="00A50A63">
            <w:r w:rsidRPr="000F2C91">
              <w:t xml:space="preserve">Cardinia Shire Council </w:t>
            </w:r>
          </w:p>
        </w:tc>
        <w:tc>
          <w:tcPr>
            <w:tcW w:w="1752" w:type="pct"/>
          </w:tcPr>
          <w:p w14:paraId="3C368305" w14:textId="7148AE64" w:rsidR="00A50A63" w:rsidRDefault="00A50A63" w:rsidP="00A50A63">
            <w:r w:rsidRPr="00DF5A30">
              <w:t xml:space="preserve">Knox City Council </w:t>
            </w:r>
          </w:p>
        </w:tc>
        <w:tc>
          <w:tcPr>
            <w:tcW w:w="1896" w:type="pct"/>
          </w:tcPr>
          <w:p w14:paraId="124D3AA0" w14:textId="461A83FA" w:rsidR="00A50A63" w:rsidRDefault="00A50A63" w:rsidP="00A50A63">
            <w:r w:rsidRPr="005264B9">
              <w:t xml:space="preserve">Nillumbik Shire Council </w:t>
            </w:r>
          </w:p>
        </w:tc>
      </w:tr>
      <w:tr w:rsidR="00A50A63" w14:paraId="55DE2317" w14:textId="77777777" w:rsidTr="00A50A63">
        <w:tc>
          <w:tcPr>
            <w:tcW w:w="1352" w:type="pct"/>
          </w:tcPr>
          <w:p w14:paraId="1148CC3E" w14:textId="7BB32422" w:rsidR="00A50A63" w:rsidRDefault="00A50A63" w:rsidP="00A50A63">
            <w:r w:rsidRPr="000F2C91">
              <w:t xml:space="preserve">Casey City Council </w:t>
            </w:r>
          </w:p>
        </w:tc>
        <w:tc>
          <w:tcPr>
            <w:tcW w:w="1752" w:type="pct"/>
          </w:tcPr>
          <w:p w14:paraId="30D019DA" w14:textId="0C5717DC" w:rsidR="00A50A63" w:rsidRDefault="00A50A63" w:rsidP="00A50A63">
            <w:r w:rsidRPr="00DF5A30">
              <w:t xml:space="preserve">Manningham City Council </w:t>
            </w:r>
          </w:p>
        </w:tc>
        <w:tc>
          <w:tcPr>
            <w:tcW w:w="1896" w:type="pct"/>
          </w:tcPr>
          <w:p w14:paraId="3A7C83EE" w14:textId="0245ED35" w:rsidR="00A50A63" w:rsidRDefault="00A50A63" w:rsidP="00A50A63">
            <w:r w:rsidRPr="005264B9">
              <w:t xml:space="preserve">Stonnington City Council </w:t>
            </w:r>
          </w:p>
        </w:tc>
      </w:tr>
      <w:tr w:rsidR="00A50A63" w14:paraId="111C11F1" w14:textId="77777777" w:rsidTr="00A50A63">
        <w:trPr>
          <w:cnfStyle w:val="000000100000" w:firstRow="0" w:lastRow="0" w:firstColumn="0" w:lastColumn="0" w:oddVBand="0" w:evenVBand="0" w:oddHBand="1" w:evenHBand="0" w:firstRowFirstColumn="0" w:firstRowLastColumn="0" w:lastRowFirstColumn="0" w:lastRowLastColumn="0"/>
        </w:trPr>
        <w:tc>
          <w:tcPr>
            <w:tcW w:w="1352" w:type="pct"/>
          </w:tcPr>
          <w:p w14:paraId="45F51D32" w14:textId="5C6F018B" w:rsidR="00A50A63" w:rsidRDefault="00A50A63" w:rsidP="00A50A63">
            <w:r w:rsidRPr="000F2C91">
              <w:t xml:space="preserve">City of Port Phillip </w:t>
            </w:r>
          </w:p>
        </w:tc>
        <w:tc>
          <w:tcPr>
            <w:tcW w:w="1752" w:type="pct"/>
          </w:tcPr>
          <w:p w14:paraId="676DD9F5" w14:textId="043B0B32" w:rsidR="00A50A63" w:rsidRDefault="00A50A63" w:rsidP="00A50A63">
            <w:r w:rsidRPr="00DF5A30">
              <w:t xml:space="preserve">Maribyrnong City Council </w:t>
            </w:r>
          </w:p>
        </w:tc>
        <w:tc>
          <w:tcPr>
            <w:tcW w:w="1896" w:type="pct"/>
          </w:tcPr>
          <w:p w14:paraId="7C4F8130" w14:textId="4FA9C67F" w:rsidR="00A50A63" w:rsidRDefault="00A50A63" w:rsidP="00A50A63">
            <w:r w:rsidRPr="005264B9">
              <w:t xml:space="preserve">Whitehorse City Council </w:t>
            </w:r>
          </w:p>
        </w:tc>
      </w:tr>
      <w:tr w:rsidR="00A50A63" w14:paraId="0F9752C6" w14:textId="77777777" w:rsidTr="00A50A63">
        <w:tc>
          <w:tcPr>
            <w:tcW w:w="1352" w:type="pct"/>
          </w:tcPr>
          <w:p w14:paraId="7CE8F5A2" w14:textId="3D2B471C" w:rsidR="00A50A63" w:rsidRDefault="00A50A63" w:rsidP="00A50A63">
            <w:r w:rsidRPr="000F2C91">
              <w:t xml:space="preserve">City of Yarra </w:t>
            </w:r>
          </w:p>
        </w:tc>
        <w:tc>
          <w:tcPr>
            <w:tcW w:w="1752" w:type="pct"/>
          </w:tcPr>
          <w:p w14:paraId="102432B4" w14:textId="68294073" w:rsidR="00A50A63" w:rsidRDefault="00A50A63" w:rsidP="00A50A63">
            <w:r w:rsidRPr="00DF5A30">
              <w:t xml:space="preserve">Maroondah City Council </w:t>
            </w:r>
          </w:p>
        </w:tc>
        <w:tc>
          <w:tcPr>
            <w:tcW w:w="1896" w:type="pct"/>
          </w:tcPr>
          <w:p w14:paraId="57B9D7C4" w14:textId="3F30D17A" w:rsidR="00A50A63" w:rsidRDefault="00A50A63" w:rsidP="00A50A63">
            <w:r w:rsidRPr="005264B9">
              <w:t xml:space="preserve">Whittlesea City Council </w:t>
            </w:r>
          </w:p>
        </w:tc>
      </w:tr>
      <w:tr w:rsidR="00A50A63" w14:paraId="6AA4C06C" w14:textId="77777777" w:rsidTr="00A50A63">
        <w:trPr>
          <w:cnfStyle w:val="000000100000" w:firstRow="0" w:lastRow="0" w:firstColumn="0" w:lastColumn="0" w:oddVBand="0" w:evenVBand="0" w:oddHBand="1" w:evenHBand="0" w:firstRowFirstColumn="0" w:firstRowLastColumn="0" w:lastRowFirstColumn="0" w:lastRowLastColumn="0"/>
        </w:trPr>
        <w:tc>
          <w:tcPr>
            <w:tcW w:w="1352" w:type="pct"/>
          </w:tcPr>
          <w:p w14:paraId="1E713665" w14:textId="4053E493" w:rsidR="00A50A63" w:rsidRPr="00102665" w:rsidRDefault="00A50A63" w:rsidP="00A50A63">
            <w:r w:rsidRPr="000F2C91">
              <w:t xml:space="preserve">Darebin City Council </w:t>
            </w:r>
          </w:p>
        </w:tc>
        <w:tc>
          <w:tcPr>
            <w:tcW w:w="1752" w:type="pct"/>
          </w:tcPr>
          <w:p w14:paraId="784082B3" w14:textId="119A59F7" w:rsidR="00A50A63" w:rsidRDefault="00A50A63" w:rsidP="00A50A63">
            <w:r w:rsidRPr="00DF5A30">
              <w:t xml:space="preserve">Melton City Council </w:t>
            </w:r>
          </w:p>
        </w:tc>
        <w:tc>
          <w:tcPr>
            <w:tcW w:w="1896" w:type="pct"/>
          </w:tcPr>
          <w:p w14:paraId="5DE30E34" w14:textId="4EE10FE8" w:rsidR="00A50A63" w:rsidRDefault="00A50A63" w:rsidP="00A50A63">
            <w:r w:rsidRPr="005264B9">
              <w:t xml:space="preserve">Wyndham City Council </w:t>
            </w:r>
          </w:p>
        </w:tc>
      </w:tr>
      <w:tr w:rsidR="00A50A63" w14:paraId="66A9CCD1" w14:textId="77777777" w:rsidTr="00A50A63">
        <w:tc>
          <w:tcPr>
            <w:tcW w:w="1352" w:type="pct"/>
          </w:tcPr>
          <w:p w14:paraId="78CD60E7" w14:textId="6D74A85A" w:rsidR="00A50A63" w:rsidRPr="00102665" w:rsidRDefault="00A50A63" w:rsidP="00A50A63">
            <w:r w:rsidRPr="000F2C91">
              <w:t xml:space="preserve">Frankston City Council </w:t>
            </w:r>
          </w:p>
        </w:tc>
        <w:tc>
          <w:tcPr>
            <w:tcW w:w="1752" w:type="pct"/>
          </w:tcPr>
          <w:p w14:paraId="7A0B8742" w14:textId="6A6D27E8" w:rsidR="00A50A63" w:rsidRDefault="00A50A63" w:rsidP="00A50A63">
            <w:r w:rsidRPr="00A50A63">
              <w:t>Merri-bek City Council</w:t>
            </w:r>
          </w:p>
        </w:tc>
        <w:tc>
          <w:tcPr>
            <w:tcW w:w="1896" w:type="pct"/>
            <w:shd w:val="clear" w:color="auto" w:fill="FFFFFF" w:themeFill="background1"/>
          </w:tcPr>
          <w:p w14:paraId="2750ED3C" w14:textId="2B2C2846" w:rsidR="00A50A63" w:rsidRDefault="00A50A63" w:rsidP="00A50A63">
            <w:r w:rsidRPr="005264B9">
              <w:t>Yarra Ranges Shire Council</w:t>
            </w:r>
          </w:p>
        </w:tc>
      </w:tr>
      <w:tr w:rsidR="00A50A63" w14:paraId="47A9BE54" w14:textId="77777777" w:rsidTr="00A50A63">
        <w:trPr>
          <w:cnfStyle w:val="000000100000" w:firstRow="0" w:lastRow="0" w:firstColumn="0" w:lastColumn="0" w:oddVBand="0" w:evenVBand="0" w:oddHBand="1" w:evenHBand="0" w:firstRowFirstColumn="0" w:firstRowLastColumn="0" w:lastRowFirstColumn="0" w:lastRowLastColumn="0"/>
        </w:trPr>
        <w:tc>
          <w:tcPr>
            <w:tcW w:w="1352" w:type="pct"/>
          </w:tcPr>
          <w:p w14:paraId="18C366DE" w14:textId="2F6B7371" w:rsidR="00A50A63" w:rsidRPr="00102665" w:rsidRDefault="00A50A63" w:rsidP="00A50A63">
            <w:r w:rsidRPr="000F2C91">
              <w:t xml:space="preserve">Glen Eira City Council </w:t>
            </w:r>
          </w:p>
        </w:tc>
        <w:tc>
          <w:tcPr>
            <w:tcW w:w="1752" w:type="pct"/>
          </w:tcPr>
          <w:p w14:paraId="1B4E05E7" w14:textId="4C6EB64F" w:rsidR="00A50A63" w:rsidRDefault="00A50A63" w:rsidP="00A50A63"/>
        </w:tc>
        <w:tc>
          <w:tcPr>
            <w:tcW w:w="1896" w:type="pct"/>
          </w:tcPr>
          <w:p w14:paraId="1B452BB0" w14:textId="708EA890" w:rsidR="00A50A63" w:rsidRDefault="00A50A63" w:rsidP="00A50A63"/>
        </w:tc>
      </w:tr>
    </w:tbl>
    <w:p w14:paraId="6DF5FD05" w14:textId="6F7EEA32" w:rsidR="007D5834" w:rsidRDefault="007D5834" w:rsidP="007D5834">
      <w:pPr>
        <w:pStyle w:val="Heading2"/>
      </w:pPr>
      <w:bookmarkStart w:id="33" w:name="_Toc114643484"/>
      <w:bookmarkStart w:id="34" w:name="_Toc126049424"/>
      <w:r>
        <w:t>Ineligible event types</w:t>
      </w:r>
      <w:bookmarkEnd w:id="33"/>
      <w:bookmarkEnd w:id="34"/>
    </w:p>
    <w:p w14:paraId="0064E80E" w14:textId="06715C0A" w:rsidR="008C7738" w:rsidRDefault="008C7738" w:rsidP="008C7738">
      <w:r>
        <w:t xml:space="preserve">The following </w:t>
      </w:r>
      <w:r w:rsidR="004444B7">
        <w:t xml:space="preserve">is a non-exhaustive list of activities that </w:t>
      </w:r>
      <w:r>
        <w:t xml:space="preserve">are ineligible under </w:t>
      </w:r>
      <w:r w:rsidR="004C2E84">
        <w:t>the SME p</w:t>
      </w:r>
      <w:r>
        <w:t>rogram:</w:t>
      </w:r>
    </w:p>
    <w:p w14:paraId="3A271B75" w14:textId="76D6FF9C" w:rsidR="008C7738" w:rsidRDefault="008C7738" w:rsidP="008C7738">
      <w:pPr>
        <w:pStyle w:val="ListParagraph"/>
      </w:pPr>
      <w:r>
        <w:t xml:space="preserve">Membership based activities, that are exclusively for members of a club or organisation e.g. business conference for </w:t>
      </w:r>
      <w:r w:rsidR="00815425">
        <w:t xml:space="preserve">paid </w:t>
      </w:r>
      <w:r>
        <w:t>members only</w:t>
      </w:r>
      <w:r w:rsidR="0030081D">
        <w:t xml:space="preserve"> </w:t>
      </w:r>
      <w:r>
        <w:t xml:space="preserve"> </w:t>
      </w:r>
    </w:p>
    <w:p w14:paraId="09551E17" w14:textId="5FE93DC1" w:rsidR="008C7738" w:rsidRDefault="008C7738" w:rsidP="008C7738">
      <w:pPr>
        <w:pStyle w:val="ListParagraph"/>
      </w:pPr>
      <w:r>
        <w:t>Private or invitation only events and functions e.g.</w:t>
      </w:r>
      <w:r w:rsidR="004C2E84">
        <w:t>,</w:t>
      </w:r>
      <w:r>
        <w:t xml:space="preserve"> wedding</w:t>
      </w:r>
      <w:r w:rsidR="00C50890">
        <w:t xml:space="preserve">, </w:t>
      </w:r>
      <w:r w:rsidR="0014532E">
        <w:t>sporting club awards night</w:t>
      </w:r>
    </w:p>
    <w:p w14:paraId="21701E44" w14:textId="56A42653" w:rsidR="008C7738" w:rsidRDefault="0051566B" w:rsidP="008C7738">
      <w:pPr>
        <w:pStyle w:val="ListParagraph"/>
      </w:pPr>
      <w:r>
        <w:t>A</w:t>
      </w:r>
      <w:r w:rsidR="008C7738">
        <w:t>ctivations</w:t>
      </w:r>
      <w:r w:rsidR="00DF47DE">
        <w:t>,</w:t>
      </w:r>
      <w:r w:rsidR="004C2E84">
        <w:t xml:space="preserve"> </w:t>
      </w:r>
      <w:r w:rsidR="008C7738">
        <w:t>temporary installations or experiences to energise a specific area for patrons already in the area</w:t>
      </w:r>
      <w:r w:rsidR="00A05B51">
        <w:t xml:space="preserve"> e.g.</w:t>
      </w:r>
      <w:r w:rsidR="004C2E84">
        <w:t>,</w:t>
      </w:r>
      <w:r w:rsidR="00A05B51">
        <w:t xml:space="preserve"> </w:t>
      </w:r>
      <w:r w:rsidR="00C64980">
        <w:t xml:space="preserve">sausage </w:t>
      </w:r>
      <w:r w:rsidR="006F6647">
        <w:t xml:space="preserve">sizzle </w:t>
      </w:r>
      <w:r w:rsidR="001A3F6E">
        <w:t>at shopping centre</w:t>
      </w:r>
    </w:p>
    <w:p w14:paraId="6545DC3C" w14:textId="69346E9D" w:rsidR="008C7738" w:rsidRDefault="008C7738" w:rsidP="008C7738">
      <w:pPr>
        <w:pStyle w:val="ListParagraph"/>
      </w:pPr>
      <w:r>
        <w:t>Teaching programs and lectures or university open days</w:t>
      </w:r>
    </w:p>
    <w:p w14:paraId="441ED937" w14:textId="3118EBE6" w:rsidR="008C7738" w:rsidRDefault="008C7738" w:rsidP="008C7738">
      <w:pPr>
        <w:pStyle w:val="ListParagraph"/>
      </w:pPr>
      <w:r>
        <w:t>Trade shows</w:t>
      </w:r>
      <w:r w:rsidR="008C617F">
        <w:t xml:space="preserve"> or trade </w:t>
      </w:r>
      <w:r w:rsidR="004978FE">
        <w:t>festivals</w:t>
      </w:r>
    </w:p>
    <w:p w14:paraId="6E7FF0A3" w14:textId="1F7DCA0A" w:rsidR="008C7738" w:rsidRDefault="008C7738" w:rsidP="008C7738">
      <w:pPr>
        <w:pStyle w:val="ListParagraph"/>
      </w:pPr>
      <w:r>
        <w:t>School fetes</w:t>
      </w:r>
    </w:p>
    <w:p w14:paraId="3D3F9F5E" w14:textId="5B54A673" w:rsidR="008C7738" w:rsidRDefault="008C7738" w:rsidP="008C7738">
      <w:pPr>
        <w:pStyle w:val="ListParagraph"/>
      </w:pPr>
      <w:r>
        <w:t>Public relations (PR) opportunities or commercial brand activations</w:t>
      </w:r>
    </w:p>
    <w:p w14:paraId="0705EAD4" w14:textId="16A3193A" w:rsidR="00873A57" w:rsidRDefault="006A1AA0" w:rsidP="008C7738">
      <w:pPr>
        <w:pStyle w:val="ListParagraph"/>
      </w:pPr>
      <w:r>
        <w:t>Sport</w:t>
      </w:r>
      <w:r w:rsidR="00BA2D92">
        <w:t>ing matches that are</w:t>
      </w:r>
      <w:r w:rsidR="003F0495">
        <w:t>:</w:t>
      </w:r>
    </w:p>
    <w:p w14:paraId="0980E47B" w14:textId="2AD22AD9" w:rsidR="0030370E" w:rsidRDefault="0030370E" w:rsidP="00FC4BE7">
      <w:pPr>
        <w:pStyle w:val="ListParagraph"/>
        <w:numPr>
          <w:ilvl w:val="1"/>
          <w:numId w:val="5"/>
        </w:numPr>
      </w:pPr>
      <w:r>
        <w:t>Community sport matches/games, which are part of a regularly fixtured season (e.g.</w:t>
      </w:r>
      <w:r w:rsidR="004C2E84">
        <w:t>,</w:t>
      </w:r>
      <w:r>
        <w:t xml:space="preserve"> under 11’s basketball game)</w:t>
      </w:r>
    </w:p>
    <w:p w14:paraId="4CD1A041" w14:textId="055D88D7" w:rsidR="008C7738" w:rsidRDefault="008C7738" w:rsidP="00FC4BE7">
      <w:pPr>
        <w:pStyle w:val="ListParagraph"/>
        <w:numPr>
          <w:ilvl w:val="1"/>
          <w:numId w:val="5"/>
        </w:numPr>
      </w:pPr>
      <w:r>
        <w:t>Professional sporting events (where professional sports people are employed as their primary form of income)</w:t>
      </w:r>
    </w:p>
    <w:p w14:paraId="20FDC5EA" w14:textId="5F59FB17" w:rsidR="008C7738" w:rsidRDefault="008C7738" w:rsidP="008C7738">
      <w:pPr>
        <w:pStyle w:val="ListParagraph"/>
      </w:pPr>
      <w:r>
        <w:lastRenderedPageBreak/>
        <w:t>Events held solely online or virtually (hybrid face-to-face events with a virtual component are permitted e.g., for accessibility reasons)</w:t>
      </w:r>
    </w:p>
    <w:p w14:paraId="429E75DA" w14:textId="0112AEE6" w:rsidR="008C7738" w:rsidRDefault="008C7738" w:rsidP="008C7738">
      <w:pPr>
        <w:pStyle w:val="ListParagraph"/>
      </w:pPr>
      <w:r>
        <w:t xml:space="preserve">Events expected to have more than 10,000 </w:t>
      </w:r>
      <w:r w:rsidR="002028AE">
        <w:t xml:space="preserve">in-person </w:t>
      </w:r>
      <w:r>
        <w:t>attendees</w:t>
      </w:r>
    </w:p>
    <w:p w14:paraId="541C0FD9" w14:textId="4E819A44" w:rsidR="008C7738" w:rsidRDefault="008C7738" w:rsidP="008C7738">
      <w:pPr>
        <w:pStyle w:val="ListParagraph"/>
      </w:pPr>
      <w:r>
        <w:t>Events that rely solely on Government funding to deliver</w:t>
      </w:r>
    </w:p>
    <w:p w14:paraId="5398E800" w14:textId="573377FB" w:rsidR="008C7738" w:rsidRDefault="008C7738" w:rsidP="008C7738">
      <w:pPr>
        <w:pStyle w:val="ListParagraph"/>
      </w:pPr>
      <w:r>
        <w:t>Events taking place in the City of Melbourne or regional Victoria</w:t>
      </w:r>
      <w:r w:rsidR="00130786">
        <w:t xml:space="preserve"> (i.e. not one of the 31 Local Government Areas listed in section 4.4 “Eligible </w:t>
      </w:r>
      <w:r w:rsidR="0047254C">
        <w:t>a</w:t>
      </w:r>
      <w:r w:rsidR="00130786">
        <w:t>reas”)</w:t>
      </w:r>
      <w:r w:rsidR="00F82B22">
        <w:t>.</w:t>
      </w:r>
    </w:p>
    <w:p w14:paraId="55B91598" w14:textId="342E4F6A" w:rsidR="00CB331C" w:rsidRDefault="00CB331C" w:rsidP="00CB331C">
      <w:pPr>
        <w:pStyle w:val="Heading2"/>
      </w:pPr>
      <w:bookmarkStart w:id="35" w:name="_Toc120788172"/>
      <w:bookmarkStart w:id="36" w:name="_Toc114643485"/>
      <w:bookmarkStart w:id="37" w:name="_Toc126049425"/>
      <w:bookmarkEnd w:id="35"/>
      <w:r>
        <w:t>Eligible activities/expenses</w:t>
      </w:r>
      <w:bookmarkEnd w:id="36"/>
      <w:bookmarkEnd w:id="37"/>
    </w:p>
    <w:p w14:paraId="2561D47A" w14:textId="10AF176B" w:rsidR="00157A29" w:rsidRDefault="00C022E8" w:rsidP="00C022E8">
      <w:pPr>
        <w:spacing w:before="0"/>
      </w:pPr>
      <w:r>
        <w:t xml:space="preserve">Grant funding </w:t>
      </w:r>
      <w:r w:rsidR="00EB7B9F">
        <w:t xml:space="preserve">provided </w:t>
      </w:r>
      <w:r>
        <w:t xml:space="preserve">through the SME </w:t>
      </w:r>
      <w:r w:rsidR="00DF6A09">
        <w:t>p</w:t>
      </w:r>
      <w:r>
        <w:t>rogram will support the following event expenditure:</w:t>
      </w:r>
      <w:r w:rsidR="00157A29">
        <w:t xml:space="preserve"> </w:t>
      </w:r>
    </w:p>
    <w:p w14:paraId="35210BC9" w14:textId="621B6A1A" w:rsidR="00157A29" w:rsidRDefault="00157A29" w:rsidP="00157A29">
      <w:pPr>
        <w:pStyle w:val="ListParagraph"/>
      </w:pPr>
      <w:r>
        <w:t xml:space="preserve">artist and performer fees </w:t>
      </w:r>
    </w:p>
    <w:p w14:paraId="4FCDFD97" w14:textId="47CDD980" w:rsidR="00157A29" w:rsidRDefault="00157A29" w:rsidP="00157A29">
      <w:pPr>
        <w:pStyle w:val="ListParagraph"/>
      </w:pPr>
      <w:r>
        <w:t xml:space="preserve">catering </w:t>
      </w:r>
    </w:p>
    <w:p w14:paraId="2C866AB4" w14:textId="794252F2" w:rsidR="00157A29" w:rsidRDefault="00157A29" w:rsidP="00157A29">
      <w:pPr>
        <w:pStyle w:val="ListParagraph"/>
      </w:pPr>
      <w:r>
        <w:t xml:space="preserve">venue hire </w:t>
      </w:r>
    </w:p>
    <w:p w14:paraId="3BB83948" w14:textId="2355818C" w:rsidR="00157A29" w:rsidRDefault="00157A29" w:rsidP="00157A29">
      <w:pPr>
        <w:pStyle w:val="ListParagraph"/>
      </w:pPr>
      <w:r>
        <w:t xml:space="preserve">short-term staffing costs associated with the staging of the event (event and project management) </w:t>
      </w:r>
    </w:p>
    <w:p w14:paraId="257A5A59" w14:textId="167D3D68" w:rsidR="00157A29" w:rsidRDefault="00157A29" w:rsidP="00157A29">
      <w:pPr>
        <w:pStyle w:val="ListParagraph"/>
      </w:pPr>
      <w:r>
        <w:t>advertising, publicity, promotion, marketing, stationery, printing, and publishing that is directly related to the event</w:t>
      </w:r>
    </w:p>
    <w:p w14:paraId="61E8BDFB" w14:textId="4440ADF9" w:rsidR="00157A29" w:rsidRDefault="00157A29" w:rsidP="00157A29">
      <w:pPr>
        <w:pStyle w:val="ListParagraph"/>
      </w:pPr>
      <w:r>
        <w:t xml:space="preserve">equipment hire and cleaning </w:t>
      </w:r>
    </w:p>
    <w:p w14:paraId="38CD221F" w14:textId="28220BCF" w:rsidR="00157A29" w:rsidRDefault="00157A29" w:rsidP="00157A29">
      <w:pPr>
        <w:pStyle w:val="ListParagraph"/>
      </w:pPr>
      <w:r>
        <w:t>worker transport costs directly related to the event (</w:t>
      </w:r>
      <w:r w:rsidR="007A3A7C">
        <w:t>e.g.</w:t>
      </w:r>
      <w:r>
        <w:t>, bus hire or public transport costs for local travel within Victoria)</w:t>
      </w:r>
    </w:p>
    <w:p w14:paraId="30A2D43B" w14:textId="55E0E397" w:rsidR="00157A29" w:rsidRDefault="00157A29" w:rsidP="00157A29">
      <w:pPr>
        <w:pStyle w:val="ListParagraph"/>
      </w:pPr>
      <w:r>
        <w:t>COVIDSafe-related costs for event staff (</w:t>
      </w:r>
      <w:r w:rsidR="007A3A7C">
        <w:t>e.g.</w:t>
      </w:r>
      <w:r>
        <w:t>, rapid antigen tests for staff and volunteers, and hand sanitiser).</w:t>
      </w:r>
    </w:p>
    <w:p w14:paraId="5DFAB018" w14:textId="3C7E5165" w:rsidR="00CB331C" w:rsidRDefault="00157A29" w:rsidP="00157A29">
      <w:r>
        <w:t>Not all expenditure on your event may be eligible for grant funding. The Department makes the final decision on what is eligible expenditure.</w:t>
      </w:r>
    </w:p>
    <w:p w14:paraId="779477DF" w14:textId="0DDC9A19" w:rsidR="007C2B90" w:rsidRDefault="007C2B90" w:rsidP="007C2B90">
      <w:pPr>
        <w:pStyle w:val="Heading2"/>
      </w:pPr>
      <w:bookmarkStart w:id="38" w:name="_Toc114643486"/>
      <w:bookmarkStart w:id="39" w:name="_Toc126049426"/>
      <w:r>
        <w:t>Ineligible activities/expenses</w:t>
      </w:r>
      <w:bookmarkEnd w:id="38"/>
      <w:bookmarkEnd w:id="39"/>
    </w:p>
    <w:p w14:paraId="4DC706CB" w14:textId="3B143F59" w:rsidR="00E1451B" w:rsidRDefault="004F727D" w:rsidP="00E1451B">
      <w:r>
        <w:t xml:space="preserve">Grant funding delivered through the SME </w:t>
      </w:r>
      <w:r w:rsidR="00DF6A09">
        <w:t>p</w:t>
      </w:r>
      <w:r>
        <w:t xml:space="preserve">rogram </w:t>
      </w:r>
      <w:r w:rsidR="00764FD8">
        <w:t xml:space="preserve">will </w:t>
      </w:r>
      <w:r w:rsidR="00764FD8" w:rsidRPr="00054AD7">
        <w:rPr>
          <w:b/>
          <w:bCs/>
        </w:rPr>
        <w:t>not</w:t>
      </w:r>
      <w:r w:rsidR="00764FD8">
        <w:t xml:space="preserve"> support the following</w:t>
      </w:r>
      <w:r w:rsidR="00E1451B">
        <w:t xml:space="preserve"> expenditure i</w:t>
      </w:r>
      <w:r w:rsidR="00764FD8">
        <w:t>tems</w:t>
      </w:r>
      <w:r w:rsidR="00E1451B">
        <w:t xml:space="preserve">: </w:t>
      </w:r>
    </w:p>
    <w:p w14:paraId="675C82FA" w14:textId="28F6D726" w:rsidR="00E1451B" w:rsidRDefault="00E1451B" w:rsidP="00E1451B">
      <w:pPr>
        <w:pStyle w:val="ListParagraph"/>
      </w:pPr>
      <w:r>
        <w:t xml:space="preserve">ongoing business-as-usual administrative or staffing costs </w:t>
      </w:r>
    </w:p>
    <w:p w14:paraId="6319B19F" w14:textId="7D6A8383" w:rsidR="00E1451B" w:rsidRDefault="00E1451B" w:rsidP="00E1451B">
      <w:pPr>
        <w:pStyle w:val="ListParagraph"/>
      </w:pPr>
      <w:r>
        <w:t>ongoing operating costs or salary subsidies</w:t>
      </w:r>
    </w:p>
    <w:p w14:paraId="6BC003D1" w14:textId="2512E334" w:rsidR="00E1451B" w:rsidRDefault="00E1451B" w:rsidP="00E1451B">
      <w:pPr>
        <w:pStyle w:val="ListParagraph"/>
      </w:pPr>
      <w:r>
        <w:t xml:space="preserve">digital capability and website development costs not directly related to the event </w:t>
      </w:r>
    </w:p>
    <w:p w14:paraId="405F47B6" w14:textId="69E203D5" w:rsidR="00E1451B" w:rsidRDefault="00E1451B" w:rsidP="00E1451B">
      <w:pPr>
        <w:pStyle w:val="ListParagraph"/>
      </w:pPr>
      <w:r>
        <w:t xml:space="preserve">purchase of alcohol </w:t>
      </w:r>
    </w:p>
    <w:p w14:paraId="224EE26B" w14:textId="4DD07AA7" w:rsidR="00E1451B" w:rsidRDefault="00E1451B" w:rsidP="00E1451B">
      <w:pPr>
        <w:pStyle w:val="ListParagraph"/>
      </w:pPr>
      <w:r>
        <w:t xml:space="preserve">purchase of equipment </w:t>
      </w:r>
      <w:r w:rsidR="002C6301">
        <w:t xml:space="preserve">for ongoing use </w:t>
      </w:r>
      <w:r>
        <w:t xml:space="preserve">(such as laptops) </w:t>
      </w:r>
    </w:p>
    <w:p w14:paraId="4750D96B" w14:textId="29898020" w:rsidR="00E1451B" w:rsidRDefault="00E1451B" w:rsidP="00E1451B">
      <w:pPr>
        <w:pStyle w:val="ListParagraph"/>
      </w:pPr>
      <w:r>
        <w:t xml:space="preserve">travel outside Victoria, or funding for people or organisations that are interstate or from overseas to visit Victoria (for example, international flights and visas) </w:t>
      </w:r>
    </w:p>
    <w:p w14:paraId="03B1C0B5" w14:textId="2E78638B" w:rsidR="00E1451B" w:rsidRDefault="00E1451B" w:rsidP="00E1451B">
      <w:pPr>
        <w:pStyle w:val="ListParagraph"/>
      </w:pPr>
      <w:r>
        <w:t xml:space="preserve">gift packages, prizes or awards </w:t>
      </w:r>
    </w:p>
    <w:p w14:paraId="553A8345" w14:textId="2ECCBCAD" w:rsidR="00E1451B" w:rsidRDefault="00E1451B" w:rsidP="00E1451B">
      <w:pPr>
        <w:pStyle w:val="ListParagraph"/>
      </w:pPr>
      <w:r>
        <w:t>costs for preparing an application for a grant under this Program</w:t>
      </w:r>
    </w:p>
    <w:p w14:paraId="1A518B56" w14:textId="62918297" w:rsidR="007C2B90" w:rsidRDefault="00E1451B" w:rsidP="00E1451B">
      <w:pPr>
        <w:pStyle w:val="ListParagraph"/>
      </w:pPr>
      <w:r>
        <w:t>any costs to meet regulatory requirements (such as permit application fees).</w:t>
      </w:r>
    </w:p>
    <w:p w14:paraId="04C7F3A2" w14:textId="5F867B23" w:rsidR="00764FD8" w:rsidRDefault="00817B29" w:rsidP="00764FD8">
      <w:r>
        <w:t>The Department makes the final decision on what is ineligible expenditure.</w:t>
      </w:r>
    </w:p>
    <w:p w14:paraId="243CEDE8" w14:textId="77777777" w:rsidR="002A61EE" w:rsidRPr="002A61EE" w:rsidRDefault="002A61EE" w:rsidP="002A61EE">
      <w:pPr>
        <w:pStyle w:val="Heading1"/>
      </w:pPr>
      <w:bookmarkStart w:id="40" w:name="_Toc69127788"/>
      <w:bookmarkStart w:id="41" w:name="_Toc96430010"/>
      <w:bookmarkStart w:id="42" w:name="_Toc114643487"/>
      <w:bookmarkStart w:id="43" w:name="_Toc126049427"/>
      <w:r w:rsidRPr="002A61EE">
        <w:lastRenderedPageBreak/>
        <w:t>Assessment Process</w:t>
      </w:r>
      <w:bookmarkEnd w:id="40"/>
      <w:bookmarkEnd w:id="41"/>
      <w:bookmarkEnd w:id="42"/>
      <w:bookmarkEnd w:id="43"/>
    </w:p>
    <w:p w14:paraId="507FB433" w14:textId="77777777" w:rsidR="002A61EE" w:rsidRPr="00687263" w:rsidRDefault="002A61EE" w:rsidP="002A61EE">
      <w:pPr>
        <w:rPr>
          <w:i/>
        </w:rPr>
      </w:pPr>
      <w:r>
        <w:t xml:space="preserve">This is a competitive grant process and as such not all eligible applicants will receive funding. </w:t>
      </w:r>
      <w:r w:rsidRPr="00687263">
        <w:t>Applications will be assessed</w:t>
      </w:r>
      <w:r>
        <w:t xml:space="preserve"> using</w:t>
      </w:r>
      <w:r w:rsidRPr="00687263">
        <w:t xml:space="preserve"> the following process</w:t>
      </w:r>
      <w:r>
        <w:t xml:space="preserve">: </w:t>
      </w:r>
    </w:p>
    <w:p w14:paraId="4E30D6FA" w14:textId="70575693" w:rsidR="002A61EE" w:rsidRPr="002A61EE" w:rsidRDefault="00517CBA" w:rsidP="00C45090">
      <w:pPr>
        <w:pStyle w:val="ListParagraph"/>
        <w:numPr>
          <w:ilvl w:val="0"/>
          <w:numId w:val="7"/>
        </w:numPr>
      </w:pPr>
      <w:r>
        <w:t xml:space="preserve">Applications </w:t>
      </w:r>
      <w:r w:rsidR="0074504D">
        <w:t xml:space="preserve">are received and </w:t>
      </w:r>
      <w:r>
        <w:t xml:space="preserve">assessed for applicant and event eligibility </w:t>
      </w:r>
    </w:p>
    <w:p w14:paraId="11A8CF4D" w14:textId="41282277" w:rsidR="002A61EE" w:rsidRPr="002A61EE" w:rsidRDefault="002A61EE">
      <w:pPr>
        <w:pStyle w:val="ListParagraph"/>
        <w:numPr>
          <w:ilvl w:val="0"/>
          <w:numId w:val="7"/>
        </w:numPr>
      </w:pPr>
      <w:r w:rsidRPr="002A61EE">
        <w:t xml:space="preserve">Applications will be competitively assessed against the </w:t>
      </w:r>
      <w:r w:rsidR="00027AF5">
        <w:t>Program</w:t>
      </w:r>
      <w:r w:rsidR="000004CB">
        <w:t xml:space="preserve"> </w:t>
      </w:r>
      <w:r w:rsidRPr="002A61EE">
        <w:t xml:space="preserve">assessment criteria </w:t>
      </w:r>
      <w:r w:rsidR="00301493">
        <w:t>by DJ</w:t>
      </w:r>
      <w:r w:rsidR="00872D79">
        <w:t>SI</w:t>
      </w:r>
      <w:r w:rsidR="00301493">
        <w:t>R representatives</w:t>
      </w:r>
      <w:r w:rsidR="00BE0F26">
        <w:t xml:space="preserve"> </w:t>
      </w:r>
    </w:p>
    <w:p w14:paraId="1425789E" w14:textId="29849A2C" w:rsidR="002A61EE" w:rsidRPr="002A61EE" w:rsidRDefault="009E786C" w:rsidP="00C45090">
      <w:pPr>
        <w:pStyle w:val="ListParagraph"/>
        <w:numPr>
          <w:ilvl w:val="0"/>
          <w:numId w:val="7"/>
        </w:numPr>
      </w:pPr>
      <w:r>
        <w:t>Funding r</w:t>
      </w:r>
      <w:r w:rsidR="00630E18">
        <w:t xml:space="preserve">ecommendations </w:t>
      </w:r>
      <w:r w:rsidR="00A26FEA">
        <w:t xml:space="preserve">will be </w:t>
      </w:r>
      <w:r w:rsidR="00630E18">
        <w:t xml:space="preserve">made to the </w:t>
      </w:r>
      <w:r w:rsidR="002A61EE" w:rsidRPr="002A61EE">
        <w:t>Minister for Tourism, Sport and Major Events</w:t>
      </w:r>
      <w:r w:rsidR="00630E18">
        <w:t xml:space="preserve"> for</w:t>
      </w:r>
      <w:r>
        <w:t xml:space="preserve"> </w:t>
      </w:r>
      <w:r w:rsidR="00F03601">
        <w:t xml:space="preserve">final </w:t>
      </w:r>
      <w:r>
        <w:t>decision</w:t>
      </w:r>
      <w:r w:rsidR="008970AC" w:rsidRPr="00FC4BE7">
        <w:t>.</w:t>
      </w:r>
    </w:p>
    <w:p w14:paraId="6406D43F" w14:textId="190EDE57" w:rsidR="002A61EE" w:rsidRDefault="003212F7" w:rsidP="002A61EE">
      <w:r>
        <w:t>D</w:t>
      </w:r>
      <w:r w:rsidR="002A61EE" w:rsidRPr="00395EE5">
        <w:t>ecisions on all matters pertaining to the recommendation of grant funding under this Program is at the Department’s</w:t>
      </w:r>
      <w:r w:rsidR="002A61EE">
        <w:t xml:space="preserve"> </w:t>
      </w:r>
      <w:r w:rsidR="002A61EE" w:rsidRPr="00395EE5">
        <w:t xml:space="preserve">and the Minister’s absolute discretion. </w:t>
      </w:r>
    </w:p>
    <w:p w14:paraId="7DA5BE2B" w14:textId="77777777" w:rsidR="005C1198" w:rsidRPr="005C1198" w:rsidRDefault="005C1198" w:rsidP="005C1198">
      <w:pPr>
        <w:pStyle w:val="Heading2"/>
      </w:pPr>
      <w:bookmarkStart w:id="44" w:name="_Toc69127789"/>
      <w:bookmarkStart w:id="45" w:name="_Toc96430011"/>
      <w:bookmarkStart w:id="46" w:name="_Toc114643488"/>
      <w:bookmarkStart w:id="47" w:name="_Toc126049428"/>
      <w:r w:rsidRPr="005C1198">
        <w:t>Assessment criteria</w:t>
      </w:r>
      <w:bookmarkEnd w:id="44"/>
      <w:bookmarkEnd w:id="45"/>
      <w:bookmarkEnd w:id="46"/>
      <w:bookmarkEnd w:id="47"/>
    </w:p>
    <w:p w14:paraId="5A7D8037" w14:textId="619FC9EA" w:rsidR="005C1198" w:rsidRPr="00862B55" w:rsidRDefault="005C1198" w:rsidP="005C1198">
      <w:pPr>
        <w:rPr>
          <w:color w:val="FF0000"/>
        </w:rPr>
      </w:pPr>
      <w:r w:rsidRPr="00CA4377">
        <w:t>Eligible applications will be assessed on how well they meet the assessment criteria. All supplementary attachments and information provided as part of the application will be taken into consideration during the assessment process.</w:t>
      </w:r>
    </w:p>
    <w:tbl>
      <w:tblPr>
        <w:tblStyle w:val="GridTable4-Accent1"/>
        <w:tblW w:w="5000" w:type="pct"/>
        <w:tblLook w:val="04A0" w:firstRow="1" w:lastRow="0" w:firstColumn="1" w:lastColumn="0" w:noHBand="0" w:noVBand="1"/>
      </w:tblPr>
      <w:tblGrid>
        <w:gridCol w:w="3217"/>
        <w:gridCol w:w="5844"/>
      </w:tblGrid>
      <w:tr w:rsidR="009454C4" w:rsidRPr="009454C4" w14:paraId="3C36FE50" w14:textId="77777777" w:rsidTr="0018430E">
        <w:trPr>
          <w:cnfStyle w:val="100000000000" w:firstRow="1" w:lastRow="0" w:firstColumn="0" w:lastColumn="0" w:oddVBand="0" w:evenVBand="0" w:oddHBand="0" w:evenHBand="0" w:firstRowFirstColumn="0" w:firstRowLastColumn="0" w:lastRowFirstColumn="0" w:lastRowLastColumn="0"/>
          <w:cantSplit/>
          <w:trHeight w:val="363"/>
          <w:tblHeader/>
        </w:trPr>
        <w:tc>
          <w:tcPr>
            <w:cnfStyle w:val="001000000000" w:firstRow="0" w:lastRow="0" w:firstColumn="1" w:lastColumn="0" w:oddVBand="0" w:evenVBand="0" w:oddHBand="0" w:evenHBand="0" w:firstRowFirstColumn="0" w:firstRowLastColumn="0" w:lastRowFirstColumn="0" w:lastRowLastColumn="0"/>
            <w:tcW w:w="1775" w:type="pct"/>
          </w:tcPr>
          <w:p w14:paraId="2F336A0D" w14:textId="77777777" w:rsidR="009454C4" w:rsidRPr="009454C4" w:rsidRDefault="009454C4" w:rsidP="009454C4">
            <w:pPr>
              <w:rPr>
                <w:b w:val="0"/>
                <w:bCs w:val="0"/>
              </w:rPr>
            </w:pPr>
            <w:r w:rsidRPr="009454C4">
              <w:t>Assessment Criteria</w:t>
            </w:r>
          </w:p>
        </w:tc>
        <w:tc>
          <w:tcPr>
            <w:tcW w:w="3225" w:type="pct"/>
          </w:tcPr>
          <w:p w14:paraId="62784D36" w14:textId="77777777" w:rsidR="009454C4" w:rsidRPr="009454C4" w:rsidRDefault="009454C4" w:rsidP="009454C4">
            <w:pPr>
              <w:cnfStyle w:val="100000000000" w:firstRow="1" w:lastRow="0" w:firstColumn="0" w:lastColumn="0" w:oddVBand="0" w:evenVBand="0" w:oddHBand="0" w:evenHBand="0" w:firstRowFirstColumn="0" w:firstRowLastColumn="0" w:lastRowFirstColumn="0" w:lastRowLastColumn="0"/>
              <w:rPr>
                <w:b w:val="0"/>
              </w:rPr>
            </w:pPr>
            <w:r w:rsidRPr="009454C4">
              <w:t>Considerations</w:t>
            </w:r>
          </w:p>
        </w:tc>
      </w:tr>
      <w:tr w:rsidR="009454C4" w:rsidRPr="009454C4" w14:paraId="0539A0C4" w14:textId="77777777" w:rsidTr="0018430E">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pct"/>
            <w:gridSpan w:val="2"/>
          </w:tcPr>
          <w:p w14:paraId="24C719E8" w14:textId="77777777" w:rsidR="009454C4" w:rsidRPr="009454C4" w:rsidRDefault="009454C4" w:rsidP="009454C4">
            <w:pPr>
              <w:rPr>
                <w:b w:val="0"/>
                <w:bCs w:val="0"/>
              </w:rPr>
            </w:pPr>
            <w:r w:rsidRPr="009454C4">
              <w:t>Criterion 1 – Significance of the event (40%)</w:t>
            </w:r>
          </w:p>
        </w:tc>
      </w:tr>
      <w:tr w:rsidR="009454C4" w:rsidRPr="009454C4" w14:paraId="35DCF037" w14:textId="77777777" w:rsidTr="0018430E">
        <w:tc>
          <w:tcPr>
            <w:cnfStyle w:val="001000000000" w:firstRow="0" w:lastRow="0" w:firstColumn="1" w:lastColumn="0" w:oddVBand="0" w:evenVBand="0" w:oddHBand="0" w:evenHBand="0" w:firstRowFirstColumn="0" w:firstRowLastColumn="0" w:lastRowFirstColumn="0" w:lastRowLastColumn="0"/>
            <w:tcW w:w="1775" w:type="pct"/>
          </w:tcPr>
          <w:p w14:paraId="22FEC592" w14:textId="352B62D9" w:rsidR="009454C4" w:rsidRPr="009454C4" w:rsidRDefault="009454C4" w:rsidP="009454C4">
            <w:r w:rsidRPr="009454C4">
              <w:t xml:space="preserve">Assessed on the significance of the event to the LGA, greater Melbourne and/or Victoria </w:t>
            </w:r>
          </w:p>
        </w:tc>
        <w:tc>
          <w:tcPr>
            <w:tcW w:w="3225" w:type="pct"/>
          </w:tcPr>
          <w:p w14:paraId="22EE46DC" w14:textId="77777777" w:rsidR="009454C4" w:rsidRPr="009454C4" w:rsidRDefault="009454C4" w:rsidP="009454C4">
            <w:pPr>
              <w:cnfStyle w:val="000000000000" w:firstRow="0" w:lastRow="0" w:firstColumn="0" w:lastColumn="0" w:oddVBand="0" w:evenVBand="0" w:oddHBand="0" w:evenHBand="0" w:firstRowFirstColumn="0" w:firstRowLastColumn="0" w:lastRowFirstColumn="0" w:lastRowLastColumn="0"/>
            </w:pPr>
            <w:r w:rsidRPr="009454C4">
              <w:t>Considerations:</w:t>
            </w:r>
          </w:p>
          <w:p w14:paraId="2A213114" w14:textId="1225FEF8" w:rsidR="009454C4" w:rsidRPr="009454C4" w:rsidRDefault="009454C4" w:rsidP="009454C4">
            <w:pPr>
              <w:pStyle w:val="ListParagraph"/>
              <w:cnfStyle w:val="000000000000" w:firstRow="0" w:lastRow="0" w:firstColumn="0" w:lastColumn="0" w:oddVBand="0" w:evenVBand="0" w:oddHBand="0" w:evenHBand="0" w:firstRowFirstColumn="0" w:firstRowLastColumn="0" w:lastRowFirstColumn="0" w:lastRowLastColumn="0"/>
            </w:pPr>
            <w:r>
              <w:t xml:space="preserve">number of </w:t>
            </w:r>
            <w:r w:rsidR="00730DAF">
              <w:t xml:space="preserve">estimated </w:t>
            </w:r>
            <w:r>
              <w:t xml:space="preserve">attendees </w:t>
            </w:r>
          </w:p>
          <w:p w14:paraId="566486DC" w14:textId="56B33D58" w:rsidR="009454C4" w:rsidRPr="009454C4" w:rsidRDefault="009454C4" w:rsidP="009454C4">
            <w:pPr>
              <w:pStyle w:val="ListParagraph"/>
              <w:cnfStyle w:val="000000000000" w:firstRow="0" w:lastRow="0" w:firstColumn="0" w:lastColumn="0" w:oddVBand="0" w:evenVBand="0" w:oddHBand="0" w:evenHBand="0" w:firstRowFirstColumn="0" w:firstRowLastColumn="0" w:lastRowFirstColumn="0" w:lastRowLastColumn="0"/>
            </w:pPr>
            <w:r>
              <w:t>previous times the event has been run</w:t>
            </w:r>
            <w:r w:rsidR="00D153CC">
              <w:t>, if applicable</w:t>
            </w:r>
          </w:p>
          <w:p w14:paraId="4DEF6AAA" w14:textId="77777777" w:rsidR="009454C4" w:rsidRPr="009454C4" w:rsidRDefault="009454C4" w:rsidP="009454C4">
            <w:pPr>
              <w:pStyle w:val="ListParagraph"/>
              <w:cnfStyle w:val="000000000000" w:firstRow="0" w:lastRow="0" w:firstColumn="0" w:lastColumn="0" w:oddVBand="0" w:evenVBand="0" w:oddHBand="0" w:evenHBand="0" w:firstRowFirstColumn="0" w:firstRowLastColumn="0" w:lastRowFirstColumn="0" w:lastRowLastColumn="0"/>
            </w:pPr>
            <w:r>
              <w:t>significance of the event to the community</w:t>
            </w:r>
          </w:p>
          <w:p w14:paraId="74DBED92" w14:textId="77777777" w:rsidR="009454C4" w:rsidRPr="009454C4" w:rsidRDefault="009454C4" w:rsidP="009454C4">
            <w:pPr>
              <w:pStyle w:val="ListParagraph"/>
              <w:cnfStyle w:val="000000000000" w:firstRow="0" w:lastRow="0" w:firstColumn="0" w:lastColumn="0" w:oddVBand="0" w:evenVBand="0" w:oddHBand="0" w:evenHBand="0" w:firstRowFirstColumn="0" w:firstRowLastColumn="0" w:lastRowFirstColumn="0" w:lastRowLastColumn="0"/>
            </w:pPr>
            <w:r>
              <w:t>uniqueness of the event</w:t>
            </w:r>
          </w:p>
          <w:p w14:paraId="615BA1DC" w14:textId="77777777" w:rsidR="00D91D2A" w:rsidRDefault="009454C4" w:rsidP="006A268E">
            <w:pPr>
              <w:pStyle w:val="ListParagraph"/>
              <w:cnfStyle w:val="000000000000" w:firstRow="0" w:lastRow="0" w:firstColumn="0" w:lastColumn="0" w:oddVBand="0" w:evenVBand="0" w:oddHBand="0" w:evenHBand="0" w:firstRowFirstColumn="0" w:firstRowLastColumn="0" w:lastRowFirstColumn="0" w:lastRowLastColumn="0"/>
            </w:pPr>
            <w:r>
              <w:t>contribution to the calendar of events for the LGA, Melbourne and Victoria</w:t>
            </w:r>
          </w:p>
          <w:p w14:paraId="154C942B" w14:textId="4A11EEF3" w:rsidR="009454C4" w:rsidRPr="009454C4" w:rsidRDefault="009454C4" w:rsidP="006A268E">
            <w:pPr>
              <w:pStyle w:val="ListParagraph"/>
              <w:cnfStyle w:val="000000000000" w:firstRow="0" w:lastRow="0" w:firstColumn="0" w:lastColumn="0" w:oddVBand="0" w:evenVBand="0" w:oddHBand="0" w:evenHBand="0" w:firstRowFirstColumn="0" w:firstRowLastColumn="0" w:lastRowFirstColumn="0" w:lastRowLastColumn="0"/>
            </w:pPr>
            <w:r>
              <w:t>how the event aligns with and supports state tourism brands and attributes</w:t>
            </w:r>
          </w:p>
        </w:tc>
      </w:tr>
      <w:tr w:rsidR="009454C4" w:rsidRPr="009454C4" w14:paraId="0B27521F" w14:textId="77777777" w:rsidTr="00184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gridSpan w:val="2"/>
          </w:tcPr>
          <w:p w14:paraId="77F84977" w14:textId="37F902FC" w:rsidR="009454C4" w:rsidRPr="009454C4" w:rsidRDefault="009454C4" w:rsidP="009454C4">
            <w:pPr>
              <w:rPr>
                <w:b w:val="0"/>
                <w:bCs w:val="0"/>
              </w:rPr>
            </w:pPr>
            <w:r w:rsidRPr="009454C4">
              <w:t>Criterion 2 – Economic</w:t>
            </w:r>
            <w:r w:rsidR="007E3CD7">
              <w:t>, social and</w:t>
            </w:r>
            <w:r w:rsidR="00426070">
              <w:t xml:space="preserve"> community </w:t>
            </w:r>
            <w:r w:rsidRPr="009454C4">
              <w:t>benefits of the event (</w:t>
            </w:r>
            <w:r w:rsidR="00AB4EAA">
              <w:t>30</w:t>
            </w:r>
            <w:r w:rsidRPr="009454C4">
              <w:t>%)</w:t>
            </w:r>
          </w:p>
        </w:tc>
      </w:tr>
      <w:tr w:rsidR="009454C4" w:rsidRPr="009454C4" w14:paraId="6C54DDFC" w14:textId="77777777" w:rsidTr="0018430E">
        <w:tc>
          <w:tcPr>
            <w:cnfStyle w:val="001000000000" w:firstRow="0" w:lastRow="0" w:firstColumn="1" w:lastColumn="0" w:oddVBand="0" w:evenVBand="0" w:oddHBand="0" w:evenHBand="0" w:firstRowFirstColumn="0" w:firstRowLastColumn="0" w:lastRowFirstColumn="0" w:lastRowLastColumn="0"/>
            <w:tcW w:w="1775" w:type="pct"/>
          </w:tcPr>
          <w:p w14:paraId="7E861459" w14:textId="34CFA2C4" w:rsidR="009454C4" w:rsidRPr="009454C4" w:rsidRDefault="009454C4" w:rsidP="009454C4">
            <w:r w:rsidRPr="009454C4">
              <w:t>Assessed based on the economic</w:t>
            </w:r>
            <w:r w:rsidR="0040526F">
              <w:t>, social</w:t>
            </w:r>
            <w:r w:rsidRPr="009454C4">
              <w:t xml:space="preserve"> and community impact proportionate to event size</w:t>
            </w:r>
          </w:p>
        </w:tc>
        <w:tc>
          <w:tcPr>
            <w:tcW w:w="3225" w:type="pct"/>
          </w:tcPr>
          <w:p w14:paraId="78C79729" w14:textId="77777777" w:rsidR="009454C4" w:rsidRPr="009454C4" w:rsidRDefault="009454C4" w:rsidP="009454C4">
            <w:pPr>
              <w:cnfStyle w:val="000000000000" w:firstRow="0" w:lastRow="0" w:firstColumn="0" w:lastColumn="0" w:oddVBand="0" w:evenVBand="0" w:oddHBand="0" w:evenHBand="0" w:firstRowFirstColumn="0" w:firstRowLastColumn="0" w:lastRowFirstColumn="0" w:lastRowLastColumn="0"/>
            </w:pPr>
            <w:r w:rsidRPr="009454C4">
              <w:t>Considerations:</w:t>
            </w:r>
          </w:p>
          <w:p w14:paraId="1BFEF16A" w14:textId="77777777" w:rsidR="009454C4" w:rsidRPr="009454C4" w:rsidRDefault="009454C4" w:rsidP="009454C4">
            <w:pPr>
              <w:pStyle w:val="ListParagraph"/>
              <w:cnfStyle w:val="000000000000" w:firstRow="0" w:lastRow="0" w:firstColumn="0" w:lastColumn="0" w:oddVBand="0" w:evenVBand="0" w:oddHBand="0" w:evenHBand="0" w:firstRowFirstColumn="0" w:firstRowLastColumn="0" w:lastRowFirstColumn="0" w:lastRowLastColumn="0"/>
            </w:pPr>
            <w:r>
              <w:t>number of suppliers and contractors to be engaged</w:t>
            </w:r>
          </w:p>
          <w:p w14:paraId="1E802A2E" w14:textId="77777777" w:rsidR="009454C4" w:rsidRPr="009454C4" w:rsidRDefault="009454C4" w:rsidP="009454C4">
            <w:pPr>
              <w:pStyle w:val="ListParagraph"/>
              <w:cnfStyle w:val="000000000000" w:firstRow="0" w:lastRow="0" w:firstColumn="0" w:lastColumn="0" w:oddVBand="0" w:evenVBand="0" w:oddHBand="0" w:evenHBand="0" w:firstRowFirstColumn="0" w:firstRowLastColumn="0" w:lastRowFirstColumn="0" w:lastRowLastColumn="0"/>
            </w:pPr>
            <w:r>
              <w:t>additional internal staff employed for the purposes of the event</w:t>
            </w:r>
          </w:p>
          <w:p w14:paraId="35DEE2CE" w14:textId="634E1DB2" w:rsidR="009454C4" w:rsidRPr="009454C4" w:rsidRDefault="009454C4" w:rsidP="009454C4">
            <w:pPr>
              <w:pStyle w:val="ListParagraph"/>
              <w:cnfStyle w:val="000000000000" w:firstRow="0" w:lastRow="0" w:firstColumn="0" w:lastColumn="0" w:oddVBand="0" w:evenVBand="0" w:oddHBand="0" w:evenHBand="0" w:firstRowFirstColumn="0" w:firstRowLastColumn="0" w:lastRowFirstColumn="0" w:lastRowLastColumn="0"/>
            </w:pPr>
            <w:r>
              <w:t>potential economic</w:t>
            </w:r>
            <w:r w:rsidR="667B67A6">
              <w:t xml:space="preserve">, </w:t>
            </w:r>
            <w:r w:rsidR="79BA18D1">
              <w:t>social</w:t>
            </w:r>
            <w:r w:rsidR="31E0B210">
              <w:t xml:space="preserve"> and community</w:t>
            </w:r>
            <w:r w:rsidR="79BA18D1">
              <w:t xml:space="preserve"> </w:t>
            </w:r>
            <w:r>
              <w:t>flow on benefits to local area, including visitation numbers beyond the local area</w:t>
            </w:r>
            <w:r w:rsidR="686C706F">
              <w:t>, contribution to social cohesion and inclusivity</w:t>
            </w:r>
            <w:r>
              <w:t xml:space="preserve"> </w:t>
            </w:r>
          </w:p>
          <w:p w14:paraId="42AFC63D" w14:textId="77777777" w:rsidR="009454C4" w:rsidRPr="009454C4" w:rsidRDefault="009454C4" w:rsidP="009454C4">
            <w:pPr>
              <w:pStyle w:val="ListParagraph"/>
              <w:cnfStyle w:val="000000000000" w:firstRow="0" w:lastRow="0" w:firstColumn="0" w:lastColumn="0" w:oddVBand="0" w:evenVBand="0" w:oddHBand="0" w:evenHBand="0" w:firstRowFirstColumn="0" w:firstRowLastColumn="0" w:lastRowFirstColumn="0" w:lastRowLastColumn="0"/>
            </w:pPr>
            <w:r>
              <w:t>number of volunteers who will support the event</w:t>
            </w:r>
          </w:p>
        </w:tc>
      </w:tr>
      <w:tr w:rsidR="009454C4" w:rsidRPr="009454C4" w14:paraId="1D4E7F66" w14:textId="77777777" w:rsidTr="00184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gridSpan w:val="2"/>
          </w:tcPr>
          <w:p w14:paraId="0ED505DC" w14:textId="70A1280C" w:rsidR="009454C4" w:rsidRPr="009454C4" w:rsidRDefault="009454C4" w:rsidP="009454C4">
            <w:pPr>
              <w:rPr>
                <w:b w:val="0"/>
                <w:bCs w:val="0"/>
              </w:rPr>
            </w:pPr>
            <w:bookmarkStart w:id="48" w:name="_Hlk109048895"/>
            <w:r w:rsidRPr="009454C4">
              <w:t>Criterion 3 – Implementation planning (1</w:t>
            </w:r>
            <w:r w:rsidR="00AB4EAA">
              <w:t>0</w:t>
            </w:r>
            <w:r w:rsidRPr="009454C4">
              <w:t>%)</w:t>
            </w:r>
          </w:p>
        </w:tc>
      </w:tr>
      <w:bookmarkEnd w:id="48"/>
      <w:tr w:rsidR="009454C4" w:rsidRPr="009454C4" w14:paraId="1BF4CBD2" w14:textId="77777777" w:rsidTr="0018430E">
        <w:tc>
          <w:tcPr>
            <w:cnfStyle w:val="001000000000" w:firstRow="0" w:lastRow="0" w:firstColumn="1" w:lastColumn="0" w:oddVBand="0" w:evenVBand="0" w:oddHBand="0" w:evenHBand="0" w:firstRowFirstColumn="0" w:firstRowLastColumn="0" w:lastRowFirstColumn="0" w:lastRowLastColumn="0"/>
            <w:tcW w:w="1775" w:type="pct"/>
          </w:tcPr>
          <w:p w14:paraId="71CC1488" w14:textId="61F05538" w:rsidR="009454C4" w:rsidRPr="009454C4" w:rsidRDefault="009454C4" w:rsidP="009454C4">
            <w:r w:rsidRPr="009454C4">
              <w:t xml:space="preserve">Assessed on the capability of the applicant organisation to run the event </w:t>
            </w:r>
          </w:p>
        </w:tc>
        <w:tc>
          <w:tcPr>
            <w:tcW w:w="3225" w:type="pct"/>
          </w:tcPr>
          <w:p w14:paraId="3D3CA070" w14:textId="77777777" w:rsidR="009454C4" w:rsidRPr="009454C4" w:rsidRDefault="009454C4" w:rsidP="009454C4">
            <w:pPr>
              <w:cnfStyle w:val="000000000000" w:firstRow="0" w:lastRow="0" w:firstColumn="0" w:lastColumn="0" w:oddVBand="0" w:evenVBand="0" w:oddHBand="0" w:evenHBand="0" w:firstRowFirstColumn="0" w:firstRowLastColumn="0" w:lastRowFirstColumn="0" w:lastRowLastColumn="0"/>
            </w:pPr>
            <w:r w:rsidRPr="009454C4">
              <w:t>Considerations:</w:t>
            </w:r>
          </w:p>
          <w:p w14:paraId="1325F5A6" w14:textId="77777777" w:rsidR="009454C4" w:rsidRPr="009454C4" w:rsidRDefault="009454C4" w:rsidP="009454C4">
            <w:pPr>
              <w:pStyle w:val="ListParagraph"/>
              <w:cnfStyle w:val="000000000000" w:firstRow="0" w:lastRow="0" w:firstColumn="0" w:lastColumn="0" w:oddVBand="0" w:evenVBand="0" w:oddHBand="0" w:evenHBand="0" w:firstRowFirstColumn="0" w:firstRowLastColumn="0" w:lastRowFirstColumn="0" w:lastRowLastColumn="0"/>
            </w:pPr>
            <w:r>
              <w:t xml:space="preserve">evidence of event feasibility and delivery planning </w:t>
            </w:r>
          </w:p>
          <w:p w14:paraId="324D8D70" w14:textId="77777777" w:rsidR="009454C4" w:rsidRPr="009454C4" w:rsidRDefault="009454C4" w:rsidP="009454C4">
            <w:pPr>
              <w:pStyle w:val="ListParagraph"/>
              <w:cnfStyle w:val="000000000000" w:firstRow="0" w:lastRow="0" w:firstColumn="0" w:lastColumn="0" w:oddVBand="0" w:evenVBand="0" w:oddHBand="0" w:evenHBand="0" w:firstRowFirstColumn="0" w:firstRowLastColumn="0" w:lastRowFirstColumn="0" w:lastRowLastColumn="0"/>
            </w:pPr>
            <w:r>
              <w:t>marketing and communication planning showing how attendees will be attracted to the event</w:t>
            </w:r>
          </w:p>
          <w:p w14:paraId="4DD97C9F" w14:textId="77777777" w:rsidR="009454C4" w:rsidRPr="009454C4" w:rsidRDefault="009454C4" w:rsidP="009454C4">
            <w:pPr>
              <w:pStyle w:val="ListParagraph"/>
              <w:cnfStyle w:val="000000000000" w:firstRow="0" w:lastRow="0" w:firstColumn="0" w:lastColumn="0" w:oddVBand="0" w:evenVBand="0" w:oddHBand="0" w:evenHBand="0" w:firstRowFirstColumn="0" w:firstRowLastColumn="0" w:lastRowFirstColumn="0" w:lastRowLastColumn="0"/>
            </w:pPr>
            <w:r>
              <w:t>staffing and resource management planning (staff have been allocated to work on the event, including volunteer planning)</w:t>
            </w:r>
          </w:p>
          <w:p w14:paraId="25CD26BE" w14:textId="77777777" w:rsidR="009454C4" w:rsidRDefault="009454C4" w:rsidP="009454C4">
            <w:pPr>
              <w:pStyle w:val="ListParagraph"/>
              <w:cnfStyle w:val="000000000000" w:firstRow="0" w:lastRow="0" w:firstColumn="0" w:lastColumn="0" w:oddVBand="0" w:evenVBand="0" w:oddHBand="0" w:evenHBand="0" w:firstRowFirstColumn="0" w:firstRowLastColumn="0" w:lastRowFirstColumn="0" w:lastRowLastColumn="0"/>
            </w:pPr>
            <w:r>
              <w:t>track record of running this event and/or similar events</w:t>
            </w:r>
          </w:p>
          <w:p w14:paraId="2B8EAFA3" w14:textId="52889D9A" w:rsidR="00136CC8" w:rsidRPr="009454C4" w:rsidRDefault="00136CC8" w:rsidP="00136CC8">
            <w:pPr>
              <w:pStyle w:val="ListParagraph"/>
              <w:cnfStyle w:val="000000000000" w:firstRow="0" w:lastRow="0" w:firstColumn="0" w:lastColumn="0" w:oddVBand="0" w:evenVBand="0" w:oddHBand="0" w:evenHBand="0" w:firstRowFirstColumn="0" w:firstRowLastColumn="0" w:lastRowFirstColumn="0" w:lastRowLastColumn="0"/>
            </w:pPr>
            <w:r>
              <w:t>status of event permit requirements (if applicable)</w:t>
            </w:r>
          </w:p>
        </w:tc>
      </w:tr>
      <w:tr w:rsidR="009454C4" w:rsidRPr="009454C4" w14:paraId="2C3F80A4" w14:textId="77777777" w:rsidTr="00184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gridSpan w:val="2"/>
          </w:tcPr>
          <w:p w14:paraId="193BF555" w14:textId="3A5970B4" w:rsidR="009454C4" w:rsidRPr="009454C4" w:rsidRDefault="009454C4" w:rsidP="009454C4">
            <w:pPr>
              <w:rPr>
                <w:b w:val="0"/>
                <w:bCs w:val="0"/>
              </w:rPr>
            </w:pPr>
            <w:r w:rsidRPr="009454C4">
              <w:lastRenderedPageBreak/>
              <w:t>Criterion 4 – Extent of need for funding (</w:t>
            </w:r>
            <w:r w:rsidR="006D36C0">
              <w:t>20</w:t>
            </w:r>
            <w:r w:rsidRPr="009454C4">
              <w:t>%)</w:t>
            </w:r>
          </w:p>
        </w:tc>
      </w:tr>
      <w:tr w:rsidR="009454C4" w:rsidRPr="009454C4" w14:paraId="20231AED" w14:textId="77777777" w:rsidTr="0018430E">
        <w:tc>
          <w:tcPr>
            <w:cnfStyle w:val="001000000000" w:firstRow="0" w:lastRow="0" w:firstColumn="1" w:lastColumn="0" w:oddVBand="0" w:evenVBand="0" w:oddHBand="0" w:evenHBand="0" w:firstRowFirstColumn="0" w:firstRowLastColumn="0" w:lastRowFirstColumn="0" w:lastRowLastColumn="0"/>
            <w:tcW w:w="1775" w:type="pct"/>
          </w:tcPr>
          <w:p w14:paraId="1B36E75A" w14:textId="159A6240" w:rsidR="009454C4" w:rsidRPr="009454C4" w:rsidRDefault="009454C4" w:rsidP="009454C4">
            <w:r w:rsidRPr="009454C4">
              <w:t xml:space="preserve">How would </w:t>
            </w:r>
            <w:r w:rsidR="00B236E3">
              <w:t xml:space="preserve">SME </w:t>
            </w:r>
            <w:r w:rsidRPr="009454C4">
              <w:t>funding improve the outcomes of the event?</w:t>
            </w:r>
          </w:p>
        </w:tc>
        <w:tc>
          <w:tcPr>
            <w:tcW w:w="3225" w:type="pct"/>
          </w:tcPr>
          <w:p w14:paraId="24561E05" w14:textId="77777777" w:rsidR="009454C4" w:rsidRPr="009454C4" w:rsidRDefault="009454C4" w:rsidP="009454C4">
            <w:pPr>
              <w:cnfStyle w:val="000000000000" w:firstRow="0" w:lastRow="0" w:firstColumn="0" w:lastColumn="0" w:oddVBand="0" w:evenVBand="0" w:oddHBand="0" w:evenHBand="0" w:firstRowFirstColumn="0" w:firstRowLastColumn="0" w:lastRowFirstColumn="0" w:lastRowLastColumn="0"/>
            </w:pPr>
            <w:r w:rsidRPr="009454C4">
              <w:t>Considerations:</w:t>
            </w:r>
          </w:p>
          <w:p w14:paraId="6FC71643" w14:textId="3A348C6E" w:rsidR="009454C4" w:rsidRPr="009454C4" w:rsidRDefault="009454C4" w:rsidP="009454C4">
            <w:pPr>
              <w:pStyle w:val="ListParagraph"/>
              <w:cnfStyle w:val="000000000000" w:firstRow="0" w:lastRow="0" w:firstColumn="0" w:lastColumn="0" w:oddVBand="0" w:evenVBand="0" w:oddHBand="0" w:evenHBand="0" w:firstRowFirstColumn="0" w:firstRowLastColumn="0" w:lastRowFirstColumn="0" w:lastRowLastColumn="0"/>
            </w:pPr>
            <w:r>
              <w:t>will the funding allow the event to proceed?</w:t>
            </w:r>
          </w:p>
          <w:p w14:paraId="43AE0B2A" w14:textId="423B47B5" w:rsidR="009454C4" w:rsidRPr="009454C4" w:rsidRDefault="009454C4" w:rsidP="009454C4">
            <w:pPr>
              <w:pStyle w:val="ListParagraph"/>
              <w:cnfStyle w:val="000000000000" w:firstRow="0" w:lastRow="0" w:firstColumn="0" w:lastColumn="0" w:oddVBand="0" w:evenVBand="0" w:oddHBand="0" w:evenHBand="0" w:firstRowFirstColumn="0" w:firstRowLastColumn="0" w:lastRowFirstColumn="0" w:lastRowLastColumn="0"/>
            </w:pPr>
            <w:r>
              <w:t xml:space="preserve">how </w:t>
            </w:r>
            <w:r w:rsidR="0021229B">
              <w:t xml:space="preserve">will the </w:t>
            </w:r>
            <w:r>
              <w:t xml:space="preserve">event be </w:t>
            </w:r>
            <w:r w:rsidR="009D40D0">
              <w:t xml:space="preserve">improved </w:t>
            </w:r>
            <w:r>
              <w:t xml:space="preserve">with government </w:t>
            </w:r>
            <w:r w:rsidR="00987C1B">
              <w:t>funding</w:t>
            </w:r>
            <w:r>
              <w:t>? e.g. reach a particular cohort</w:t>
            </w:r>
            <w:r w:rsidR="009D40D0">
              <w:t xml:space="preserve">, </w:t>
            </w:r>
            <w:r>
              <w:t>expansion of offering, purchase of expertise, more accessible, longer hours of operation</w:t>
            </w:r>
          </w:p>
          <w:p w14:paraId="48416897" w14:textId="77777777" w:rsidR="00A5434A" w:rsidRDefault="00A5434A" w:rsidP="009454C4">
            <w:pPr>
              <w:pStyle w:val="ListParagraph"/>
              <w:cnfStyle w:val="000000000000" w:firstRow="0" w:lastRow="0" w:firstColumn="0" w:lastColumn="0" w:oddVBand="0" w:evenVBand="0" w:oddHBand="0" w:evenHBand="0" w:firstRowFirstColumn="0" w:firstRowLastColumn="0" w:lastRowFirstColumn="0" w:lastRowLastColumn="0"/>
            </w:pPr>
            <w:r>
              <w:t>is the event receiving other funding?</w:t>
            </w:r>
          </w:p>
          <w:p w14:paraId="06EF29CC" w14:textId="6849AC64" w:rsidR="002F4ECD" w:rsidRPr="009454C4" w:rsidRDefault="006D27A7">
            <w:pPr>
              <w:pStyle w:val="ListParagraph"/>
              <w:cnfStyle w:val="000000000000" w:firstRow="0" w:lastRow="0" w:firstColumn="0" w:lastColumn="0" w:oddVBand="0" w:evenVBand="0" w:oddHBand="0" w:evenHBand="0" w:firstRowFirstColumn="0" w:firstRowLastColumn="0" w:lastRowFirstColumn="0" w:lastRowLastColumn="0"/>
            </w:pPr>
            <w:r>
              <w:t xml:space="preserve">if applicable, </w:t>
            </w:r>
            <w:r w:rsidR="00086E84">
              <w:t xml:space="preserve">will </w:t>
            </w:r>
            <w:r w:rsidR="00A5434A">
              <w:t xml:space="preserve">SME </w:t>
            </w:r>
            <w:r w:rsidR="00086E84">
              <w:t xml:space="preserve">funding enable </w:t>
            </w:r>
            <w:r w:rsidR="00A5434A">
              <w:t xml:space="preserve">or </w:t>
            </w:r>
            <w:r w:rsidR="0071436E">
              <w:t xml:space="preserve">support </w:t>
            </w:r>
            <w:r w:rsidR="001A47B1">
              <w:t xml:space="preserve">the event to </w:t>
            </w:r>
            <w:r w:rsidR="0086688F">
              <w:t>occur again in the future?</w:t>
            </w:r>
            <w:r w:rsidR="00FA179E">
              <w:t xml:space="preserve"> </w:t>
            </w:r>
          </w:p>
        </w:tc>
      </w:tr>
    </w:tbl>
    <w:p w14:paraId="568771F9" w14:textId="77777777" w:rsidR="00922240" w:rsidRPr="00922240" w:rsidRDefault="00922240" w:rsidP="00922240">
      <w:pPr>
        <w:pStyle w:val="Heading2"/>
      </w:pPr>
      <w:bookmarkStart w:id="49" w:name="_Toc69127790"/>
      <w:bookmarkStart w:id="50" w:name="_Toc96430012"/>
      <w:bookmarkStart w:id="51" w:name="_Toc114643489"/>
      <w:bookmarkStart w:id="52" w:name="_Toc126049429"/>
      <w:r w:rsidRPr="00922240">
        <w:t>Due Diligence Assessments</w:t>
      </w:r>
      <w:bookmarkEnd w:id="49"/>
      <w:bookmarkEnd w:id="50"/>
      <w:bookmarkEnd w:id="51"/>
      <w:bookmarkEnd w:id="52"/>
    </w:p>
    <w:p w14:paraId="252C4A54" w14:textId="77777777" w:rsidR="00922240" w:rsidRPr="00367873" w:rsidRDefault="00922240" w:rsidP="00922240">
      <w:r w:rsidRPr="00367873">
        <w:t xml:space="preserve">Applicants </w:t>
      </w:r>
      <w:r>
        <w:t>may be s</w:t>
      </w:r>
      <w:r w:rsidRPr="00367873">
        <w:t xml:space="preserve">ubject to a </w:t>
      </w:r>
      <w:r>
        <w:t>risk</w:t>
      </w:r>
      <w:r w:rsidRPr="00367873">
        <w:t xml:space="preserve"> assessment which verifies business details lodged with the Australian Business Register, Australian Securities and Investment Commission, Australian Charities and Not-for-profits Commissioner, Consumer Affairs Victoria and/or </w:t>
      </w:r>
      <w:r>
        <w:t>an</w:t>
      </w:r>
      <w:r w:rsidRPr="00367873">
        <w:t>other applicable regulator.</w:t>
      </w:r>
    </w:p>
    <w:p w14:paraId="2F2C4F6F" w14:textId="77777777" w:rsidR="00922240" w:rsidRPr="00367873" w:rsidRDefault="00922240" w:rsidP="00922240">
      <w:r w:rsidRPr="00367873">
        <w:t xml:space="preserve">Any of the following circumstances may be taken into consideration in any decision whether to </w:t>
      </w:r>
      <w:r>
        <w:t xml:space="preserve">recommend or </w:t>
      </w:r>
      <w:r w:rsidRPr="00367873">
        <w:t>award a grant</w:t>
      </w:r>
      <w:r>
        <w:t xml:space="preserve"> and in contracting with successful applicants.</w:t>
      </w:r>
    </w:p>
    <w:p w14:paraId="51F023C6" w14:textId="77777777" w:rsidR="00922240" w:rsidRPr="009151DB" w:rsidRDefault="00922240" w:rsidP="00922240">
      <w:pPr>
        <w:pStyle w:val="ListParagraph"/>
      </w:pPr>
      <w:r>
        <w:t>the veracity of the information provided in the application</w:t>
      </w:r>
    </w:p>
    <w:p w14:paraId="04994397" w14:textId="77777777" w:rsidR="00922240" w:rsidRPr="009151DB" w:rsidRDefault="00922240" w:rsidP="00922240">
      <w:pPr>
        <w:pStyle w:val="ListParagraph"/>
      </w:pPr>
      <w:r>
        <w:t>any adverse findings by a regulator regarding an applicant</w:t>
      </w:r>
    </w:p>
    <w:p w14:paraId="06C2B779" w14:textId="77777777" w:rsidR="00922240" w:rsidRDefault="00922240" w:rsidP="00922240">
      <w:pPr>
        <w:pStyle w:val="ListParagraph"/>
      </w:pPr>
      <w:r>
        <w:t>an applicant is placed under external administration</w:t>
      </w:r>
    </w:p>
    <w:p w14:paraId="77055899" w14:textId="77777777" w:rsidR="00922240" w:rsidRPr="009151DB" w:rsidRDefault="00922240" w:rsidP="00922240">
      <w:pPr>
        <w:pStyle w:val="ListParagraph"/>
      </w:pPr>
      <w:r>
        <w:t>there is a petition to wind up or deregister the applicant</w:t>
      </w:r>
    </w:p>
    <w:p w14:paraId="2324D5E7" w14:textId="77777777" w:rsidR="00922240" w:rsidRPr="009151DB" w:rsidRDefault="00922240" w:rsidP="00922240">
      <w:pPr>
        <w:pStyle w:val="ListParagraph"/>
      </w:pPr>
      <w:r>
        <w:t>the applicant is or becomes deregistered or unregistered (including cancellation or lapse in registration).</w:t>
      </w:r>
    </w:p>
    <w:p w14:paraId="572EBD2F" w14:textId="77777777" w:rsidR="00922240" w:rsidRDefault="00922240" w:rsidP="00922240">
      <w:r w:rsidRPr="009151DB">
        <w:t xml:space="preserve">The Department may at any time, remove an </w:t>
      </w:r>
      <w:r>
        <w:t>a</w:t>
      </w:r>
      <w:r w:rsidRPr="009151DB">
        <w:t xml:space="preserve">pplicant from the </w:t>
      </w:r>
      <w:r>
        <w:t>a</w:t>
      </w:r>
      <w:r w:rsidRPr="009151DB">
        <w:t xml:space="preserve">pplication process, if in the Department’s opinion association with the </w:t>
      </w:r>
      <w:r>
        <w:t>a</w:t>
      </w:r>
      <w:r w:rsidRPr="009151DB">
        <w:t>pplicant may bring the Department, a Minister or the State of Victoria in disrepute.</w:t>
      </w:r>
    </w:p>
    <w:p w14:paraId="29065A3B" w14:textId="74FB0662" w:rsidR="00EA2259" w:rsidRDefault="00EA2259" w:rsidP="00EA2259">
      <w:pPr>
        <w:pStyle w:val="Heading1"/>
      </w:pPr>
      <w:bookmarkStart w:id="53" w:name="_Toc96430013"/>
      <w:bookmarkStart w:id="54" w:name="_Toc114643490"/>
      <w:bookmarkStart w:id="55" w:name="_Toc126049430"/>
      <w:bookmarkStart w:id="56" w:name="_Toc69127791"/>
      <w:r w:rsidRPr="00EA2259">
        <w:lastRenderedPageBreak/>
        <w:t>Application Process</w:t>
      </w:r>
      <w:bookmarkEnd w:id="53"/>
      <w:bookmarkEnd w:id="54"/>
      <w:bookmarkEnd w:id="55"/>
      <w:r w:rsidRPr="00EA2259">
        <w:t xml:space="preserve"> </w:t>
      </w:r>
    </w:p>
    <w:p w14:paraId="32CBE6D9" w14:textId="77777777" w:rsidR="00F83056" w:rsidRPr="00801CB5" w:rsidRDefault="00F83056" w:rsidP="00F83056">
      <w:r>
        <w:t>The person submitting the application must be authorised by the organisation to make the application.</w:t>
      </w:r>
    </w:p>
    <w:p w14:paraId="73C0546F" w14:textId="77777777" w:rsidR="00EA2259" w:rsidRPr="00EA2259" w:rsidRDefault="00EA2259" w:rsidP="00EA2259">
      <w:pPr>
        <w:pStyle w:val="Heading2"/>
      </w:pPr>
      <w:bookmarkStart w:id="57" w:name="_Toc115435456"/>
      <w:bookmarkStart w:id="58" w:name="_Toc69127793"/>
      <w:bookmarkStart w:id="59" w:name="_Toc96430014"/>
      <w:bookmarkStart w:id="60" w:name="_Toc114643491"/>
      <w:bookmarkStart w:id="61" w:name="_Toc126049431"/>
      <w:bookmarkEnd w:id="56"/>
      <w:bookmarkEnd w:id="57"/>
      <w:r w:rsidRPr="00EA2259">
        <w:t xml:space="preserve">Prepare an </w:t>
      </w:r>
      <w:bookmarkEnd w:id="58"/>
      <w:bookmarkEnd w:id="59"/>
      <w:r w:rsidRPr="00EA2259">
        <w:t>application</w:t>
      </w:r>
      <w:bookmarkEnd w:id="60"/>
      <w:bookmarkEnd w:id="61"/>
    </w:p>
    <w:p w14:paraId="34741FB6" w14:textId="77777777" w:rsidR="00EA2259" w:rsidRPr="0010401A" w:rsidRDefault="00EA2259" w:rsidP="00EA2259">
      <w:r w:rsidRPr="0010401A">
        <w:t>Applicants must undertake the following steps to apply:</w:t>
      </w:r>
    </w:p>
    <w:p w14:paraId="65F1467B" w14:textId="6D9326F9" w:rsidR="00EA2259" w:rsidRPr="0010401A" w:rsidRDefault="00EA2259" w:rsidP="00EA2259">
      <w:pPr>
        <w:pStyle w:val="ListParagraph"/>
        <w:rPr>
          <w:rFonts w:eastAsia="Calibri"/>
        </w:rPr>
      </w:pPr>
      <w:r>
        <w:t>Carefully read Program Guidelines</w:t>
      </w:r>
    </w:p>
    <w:p w14:paraId="7429D3D1" w14:textId="2A386D9C" w:rsidR="00EA2259" w:rsidRPr="007552D7" w:rsidRDefault="00EA2259" w:rsidP="00EA2259">
      <w:pPr>
        <w:pStyle w:val="ListParagraph"/>
        <w:rPr>
          <w:rFonts w:eastAsia="Calibri"/>
        </w:rPr>
      </w:pPr>
      <w:r>
        <w:t xml:space="preserve">Compile all necessary supporting documents as detailed in </w:t>
      </w:r>
      <w:r w:rsidR="006557C2">
        <w:t xml:space="preserve">the </w:t>
      </w:r>
      <w:r>
        <w:t>Program Guidelines</w:t>
      </w:r>
    </w:p>
    <w:p w14:paraId="03AFF1CA" w14:textId="51D1B610" w:rsidR="00EA2259" w:rsidRPr="003137DF" w:rsidRDefault="00EA2259" w:rsidP="00EA2259">
      <w:pPr>
        <w:pStyle w:val="ListParagraph"/>
        <w:rPr>
          <w:rFonts w:eastAsia="Calibri"/>
        </w:rPr>
      </w:pPr>
      <w:r>
        <w:t xml:space="preserve">Submit application online via the </w:t>
      </w:r>
      <w:r w:rsidR="00730043">
        <w:t xml:space="preserve">Business Victoria </w:t>
      </w:r>
      <w:r>
        <w:t>website</w:t>
      </w:r>
      <w:r w:rsidR="00661289">
        <w:t xml:space="preserve"> </w:t>
      </w:r>
      <w:r w:rsidR="0043383F">
        <w:t xml:space="preserve">- </w:t>
      </w:r>
      <w:r w:rsidR="0043383F" w:rsidRPr="004B0263">
        <w:rPr>
          <w:rFonts w:eastAsia="Calibri"/>
        </w:rPr>
        <w:t xml:space="preserve">business.vic.gov.au/small-and-medium-events-program </w:t>
      </w:r>
    </w:p>
    <w:p w14:paraId="0FDB856A" w14:textId="77777777" w:rsidR="00EA2259" w:rsidRPr="00817B29" w:rsidRDefault="00EA2259" w:rsidP="00EA2259">
      <w:pPr>
        <w:pStyle w:val="ListParagraph"/>
        <w:rPr>
          <w:rFonts w:eastAsia="Calibri"/>
        </w:rPr>
      </w:pPr>
      <w:r>
        <w:t>Check spam/junk mail if confirmation email cannot be seen in your inbox</w:t>
      </w:r>
    </w:p>
    <w:p w14:paraId="31D4FFCA" w14:textId="46BAADD1" w:rsidR="00817B29" w:rsidRPr="00817B29" w:rsidRDefault="00817B29" w:rsidP="00817B29">
      <w:pPr>
        <w:rPr>
          <w:rFonts w:eastAsia="Calibri"/>
        </w:rPr>
      </w:pPr>
      <w:r>
        <w:rPr>
          <w:rFonts w:eastAsia="Calibri"/>
        </w:rPr>
        <w:t xml:space="preserve">Only final applications </w:t>
      </w:r>
      <w:r w:rsidR="00C14F99">
        <w:rPr>
          <w:rFonts w:eastAsia="Calibri"/>
        </w:rPr>
        <w:t xml:space="preserve">that are lodged with the Department </w:t>
      </w:r>
      <w:r w:rsidR="00280227">
        <w:rPr>
          <w:rFonts w:eastAsia="Calibri"/>
        </w:rPr>
        <w:t xml:space="preserve">by the closing date </w:t>
      </w:r>
      <w:r w:rsidR="00C14F99">
        <w:rPr>
          <w:rFonts w:eastAsia="Calibri"/>
        </w:rPr>
        <w:t xml:space="preserve">will be considered and assessed. Applications </w:t>
      </w:r>
      <w:r w:rsidR="00EB020C">
        <w:rPr>
          <w:rFonts w:eastAsia="Calibri"/>
        </w:rPr>
        <w:t>that are still ‘in draft’</w:t>
      </w:r>
      <w:r w:rsidR="00624D10">
        <w:rPr>
          <w:rFonts w:eastAsia="Calibri"/>
        </w:rPr>
        <w:t xml:space="preserve"> and have not been submitted</w:t>
      </w:r>
      <w:r w:rsidR="00EB020C">
        <w:rPr>
          <w:rFonts w:eastAsia="Calibri"/>
        </w:rPr>
        <w:t xml:space="preserve"> upon program close will not </w:t>
      </w:r>
      <w:r w:rsidR="00624D10">
        <w:rPr>
          <w:rFonts w:eastAsia="Calibri"/>
        </w:rPr>
        <w:t>be assessed</w:t>
      </w:r>
      <w:r w:rsidR="00E316BB">
        <w:rPr>
          <w:rFonts w:eastAsia="Calibri"/>
        </w:rPr>
        <w:t>.</w:t>
      </w:r>
    </w:p>
    <w:p w14:paraId="7399DB5E" w14:textId="56042085" w:rsidR="00EA2259" w:rsidRPr="00EA2259" w:rsidRDefault="00EA2259" w:rsidP="00EA2259">
      <w:pPr>
        <w:pStyle w:val="Heading2"/>
      </w:pPr>
      <w:bookmarkStart w:id="62" w:name="_Toc115435458"/>
      <w:bookmarkStart w:id="63" w:name="_Toc115435460"/>
      <w:bookmarkStart w:id="64" w:name="_Toc115435461"/>
      <w:bookmarkStart w:id="65" w:name="_Toc115435462"/>
      <w:bookmarkStart w:id="66" w:name="_Toc115435463"/>
      <w:bookmarkStart w:id="67" w:name="_Toc115435464"/>
      <w:bookmarkStart w:id="68" w:name="_Toc115435465"/>
      <w:bookmarkStart w:id="69" w:name="_Toc120788180"/>
      <w:bookmarkStart w:id="70" w:name="_Toc120788182"/>
      <w:bookmarkStart w:id="71" w:name="_Toc120788183"/>
      <w:bookmarkStart w:id="72" w:name="_Toc120788184"/>
      <w:bookmarkStart w:id="73" w:name="_Toc120788185"/>
      <w:bookmarkStart w:id="74" w:name="_Toc120788186"/>
      <w:bookmarkStart w:id="75" w:name="_Toc120788187"/>
      <w:bookmarkStart w:id="76" w:name="_Toc114643493"/>
      <w:bookmarkStart w:id="77" w:name="_Toc126049432"/>
      <w:bookmarkStart w:id="78" w:name="_Toc69127795"/>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EA2259">
        <w:t>Application requirements</w:t>
      </w:r>
      <w:bookmarkEnd w:id="76"/>
      <w:bookmarkEnd w:id="77"/>
    </w:p>
    <w:p w14:paraId="70819743" w14:textId="77777777" w:rsidR="00EA2259" w:rsidRPr="00EA2259" w:rsidRDefault="00EA2259" w:rsidP="00EA2259">
      <w:r w:rsidRPr="00EA2259">
        <w:t xml:space="preserve">Applicants will be asked to include the following details in their application: </w:t>
      </w:r>
    </w:p>
    <w:p w14:paraId="3694D7C2" w14:textId="6F3FECED" w:rsidR="00EA2259" w:rsidRPr="00EA2259" w:rsidRDefault="3D64C195" w:rsidP="00EA2259">
      <w:pPr>
        <w:pStyle w:val="ListParagraph"/>
      </w:pPr>
      <w:r>
        <w:t>Description</w:t>
      </w:r>
      <w:r w:rsidR="00EA2259">
        <w:t xml:space="preserve"> of the event </w:t>
      </w:r>
    </w:p>
    <w:p w14:paraId="0725EF0B" w14:textId="0BCDCE79" w:rsidR="00EA2259" w:rsidRPr="00EA2259" w:rsidRDefault="00EA2259" w:rsidP="00EA2259">
      <w:pPr>
        <w:pStyle w:val="ListParagraph"/>
      </w:pPr>
      <w:r>
        <w:t xml:space="preserve">Projected and </w:t>
      </w:r>
      <w:r w:rsidR="000640AD">
        <w:t xml:space="preserve">(if relevant) </w:t>
      </w:r>
      <w:r>
        <w:t>past attendance, including any available information of split of local, interstate and international visitors</w:t>
      </w:r>
    </w:p>
    <w:p w14:paraId="1B5EDA4F" w14:textId="0C456B34" w:rsidR="00EA2259" w:rsidRPr="00EA2259" w:rsidRDefault="1B62637C" w:rsidP="00EA2259">
      <w:pPr>
        <w:pStyle w:val="ListParagraph"/>
      </w:pPr>
      <w:r>
        <w:t xml:space="preserve">Staffing and resourcing requirements </w:t>
      </w:r>
    </w:p>
    <w:p w14:paraId="55502A00" w14:textId="54C6EA19" w:rsidR="00EA2259" w:rsidRPr="00EA2259" w:rsidRDefault="00EA2259" w:rsidP="00EA2259">
      <w:pPr>
        <w:pStyle w:val="ListParagraph"/>
      </w:pPr>
      <w:r>
        <w:t>Detailed revenue and expenditure budget, including any financial support beyond the State Government</w:t>
      </w:r>
    </w:p>
    <w:p w14:paraId="56D0267C" w14:textId="02AB0A2A" w:rsidR="00EA2259" w:rsidRPr="00EA2259" w:rsidRDefault="00EA2259" w:rsidP="00EA2259">
      <w:pPr>
        <w:pStyle w:val="ListParagraph"/>
      </w:pPr>
      <w:r>
        <w:t>Any existing event website details</w:t>
      </w:r>
      <w:r w:rsidR="00E316BB">
        <w:t>.</w:t>
      </w:r>
    </w:p>
    <w:p w14:paraId="5191894E" w14:textId="190B1C27" w:rsidR="00EA2259" w:rsidRPr="00EA2259" w:rsidRDefault="00B03523" w:rsidP="00EA2259">
      <w:pPr>
        <w:pStyle w:val="Heading2"/>
      </w:pPr>
      <w:bookmarkStart w:id="79" w:name="_Toc119064376"/>
      <w:bookmarkStart w:id="80" w:name="_Toc119924998"/>
      <w:bookmarkStart w:id="81" w:name="_Toc126049433"/>
      <w:bookmarkEnd w:id="79"/>
      <w:bookmarkEnd w:id="80"/>
      <w:r>
        <w:t xml:space="preserve">Supporting </w:t>
      </w:r>
      <w:r w:rsidR="00C645FD">
        <w:t>d</w:t>
      </w:r>
      <w:r>
        <w:t>ocumentation</w:t>
      </w:r>
      <w:bookmarkEnd w:id="81"/>
    </w:p>
    <w:p w14:paraId="574D5D1C" w14:textId="5D03351B" w:rsidR="00EA2259" w:rsidRPr="00EA2259" w:rsidRDefault="00EA2259" w:rsidP="00EA2259">
      <w:r w:rsidRPr="00EA2259">
        <w:t xml:space="preserve">The following </w:t>
      </w:r>
      <w:r w:rsidR="00F26F4B">
        <w:t xml:space="preserve">supporting documentation is mandatory to provide and </w:t>
      </w:r>
      <w:r w:rsidR="000D4F08">
        <w:t xml:space="preserve">will be </w:t>
      </w:r>
      <w:r w:rsidR="00737A58">
        <w:t xml:space="preserve">requested </w:t>
      </w:r>
      <w:r w:rsidRPr="00EA2259">
        <w:t>as part of the application</w:t>
      </w:r>
      <w:r w:rsidR="00737A58">
        <w:t xml:space="preserve"> form</w:t>
      </w:r>
      <w:r w:rsidRPr="00EA2259">
        <w:t>:</w:t>
      </w:r>
    </w:p>
    <w:p w14:paraId="3B552857" w14:textId="76D400FE" w:rsidR="00A228B4" w:rsidRDefault="00EA2259">
      <w:pPr>
        <w:pStyle w:val="ListParagraph"/>
      </w:pPr>
      <w:r>
        <w:t xml:space="preserve">Event plan </w:t>
      </w:r>
      <w:r w:rsidR="006C1832">
        <w:t>(</w:t>
      </w:r>
      <w:r w:rsidR="00506166">
        <w:t xml:space="preserve">including scope of event, </w:t>
      </w:r>
      <w:r w:rsidR="00A76F11">
        <w:t xml:space="preserve">planning and </w:t>
      </w:r>
      <w:r w:rsidR="00506166">
        <w:t>preparation mil</w:t>
      </w:r>
      <w:r w:rsidR="00D814B9">
        <w:t>e</w:t>
      </w:r>
      <w:r w:rsidR="00506166">
        <w:t xml:space="preserve">stones, </w:t>
      </w:r>
      <w:r w:rsidR="00A76F11">
        <w:t xml:space="preserve">governance </w:t>
      </w:r>
      <w:r w:rsidR="00506166">
        <w:t>arrang</w:t>
      </w:r>
      <w:r w:rsidR="00A76F11">
        <w:t>e</w:t>
      </w:r>
      <w:r w:rsidR="00506166">
        <w:t>men</w:t>
      </w:r>
      <w:r w:rsidR="00A76F11">
        <w:t>t</w:t>
      </w:r>
      <w:r w:rsidR="00506166">
        <w:t>s and risk management plan</w:t>
      </w:r>
      <w:r w:rsidR="006C1832">
        <w:t>)</w:t>
      </w:r>
    </w:p>
    <w:p w14:paraId="6E28F05E" w14:textId="1A5F7572" w:rsidR="00EA2259" w:rsidRPr="00EA2259" w:rsidRDefault="005A3E3C" w:rsidP="0018430E">
      <w:pPr>
        <w:pStyle w:val="ListParagraph"/>
      </w:pPr>
      <w:r>
        <w:t>M</w:t>
      </w:r>
      <w:r w:rsidR="00EA2259">
        <w:t xml:space="preserve">arketing plan </w:t>
      </w:r>
      <w:r w:rsidR="006C1832">
        <w:t>(</w:t>
      </w:r>
      <w:r w:rsidR="00EA2259">
        <w:t>includ</w:t>
      </w:r>
      <w:r w:rsidR="006C1832">
        <w:t>ing details relating to tourism marketing targeting intrastate audiences, description of target mar</w:t>
      </w:r>
      <w:r w:rsidR="00E24321">
        <w:t>kets</w:t>
      </w:r>
      <w:r w:rsidR="00A228B4">
        <w:t>, proposed marketing activity and timelines)</w:t>
      </w:r>
      <w:r w:rsidR="00EA2259">
        <w:t xml:space="preserve"> </w:t>
      </w:r>
    </w:p>
    <w:p w14:paraId="787BFB38" w14:textId="37CCA08A" w:rsidR="006C1832" w:rsidRPr="00EA2259" w:rsidRDefault="00792CD0" w:rsidP="006C1832">
      <w:pPr>
        <w:pStyle w:val="ListParagraph"/>
      </w:pPr>
      <w:r>
        <w:t>D</w:t>
      </w:r>
      <w:r w:rsidR="006C1832">
        <w:t>etailed budget breakdown</w:t>
      </w:r>
      <w:r w:rsidR="008C36D3">
        <w:t xml:space="preserve"> (</w:t>
      </w:r>
      <w:r w:rsidR="006C1832">
        <w:t xml:space="preserve">including </w:t>
      </w:r>
      <w:r w:rsidR="008C36D3">
        <w:t>income sources and expenditure</w:t>
      </w:r>
      <w:r w:rsidR="006C1832">
        <w:t>)</w:t>
      </w:r>
    </w:p>
    <w:p w14:paraId="46C59919" w14:textId="77777777" w:rsidR="00F55CC8" w:rsidRDefault="00F55CC8" w:rsidP="00EA2259">
      <w:pPr>
        <w:pStyle w:val="ListParagraph"/>
      </w:pPr>
      <w:r>
        <w:t>Public liability insurance Certificate of Currency demonstrating compliance with the insurance requirements in these Guidelines.</w:t>
      </w:r>
    </w:p>
    <w:p w14:paraId="0E477009" w14:textId="166E9932" w:rsidR="000D4F08" w:rsidRDefault="00933B29" w:rsidP="0018430E">
      <w:r>
        <w:t xml:space="preserve">Other supporting documentation </w:t>
      </w:r>
      <w:r w:rsidR="003616DA">
        <w:t>may be provided where relevant or appro</w:t>
      </w:r>
      <w:r w:rsidR="00272119">
        <w:t>priate and</w:t>
      </w:r>
      <w:r w:rsidR="001B6D1B">
        <w:t xml:space="preserve"> </w:t>
      </w:r>
      <w:r w:rsidR="00737A58">
        <w:t xml:space="preserve">can </w:t>
      </w:r>
      <w:r w:rsidR="001B6D1B">
        <w:t>include:</w:t>
      </w:r>
    </w:p>
    <w:p w14:paraId="28BEBB39" w14:textId="6B6CB49B" w:rsidR="00DF1694" w:rsidRDefault="00DF1694" w:rsidP="00DF1694">
      <w:pPr>
        <w:pStyle w:val="ListParagraph"/>
      </w:pPr>
      <w:r>
        <w:t>Letter</w:t>
      </w:r>
      <w:r w:rsidR="00F549D8">
        <w:t xml:space="preserve">/s </w:t>
      </w:r>
      <w:r>
        <w:t xml:space="preserve">of </w:t>
      </w:r>
      <w:r w:rsidR="00141D6D">
        <w:t>s</w:t>
      </w:r>
      <w:r>
        <w:t>upport from the LGA where the event is taking place and/or other stakeholders or partners</w:t>
      </w:r>
    </w:p>
    <w:p w14:paraId="0259D3A0" w14:textId="5587DA8A" w:rsidR="004A34A3" w:rsidRDefault="00AC6664" w:rsidP="0018430E">
      <w:pPr>
        <w:pStyle w:val="ListParagraph"/>
      </w:pPr>
      <w:r>
        <w:t>Evidence of previous attendee numbers</w:t>
      </w:r>
    </w:p>
    <w:p w14:paraId="093C3F43" w14:textId="473C57ED" w:rsidR="007471D6" w:rsidRDefault="007471D6" w:rsidP="00C30C19">
      <w:pPr>
        <w:pStyle w:val="ListParagraph"/>
      </w:pPr>
      <w:r>
        <w:t xml:space="preserve">Letter providing evidence of other successful funding </w:t>
      </w:r>
    </w:p>
    <w:p w14:paraId="6D939C1F" w14:textId="579ED7E3" w:rsidR="00AF3B07" w:rsidRPr="00EA2259" w:rsidRDefault="00AF3B07" w:rsidP="00C30C19">
      <w:pPr>
        <w:pStyle w:val="ListParagraph"/>
      </w:pPr>
      <w:r>
        <w:t xml:space="preserve">Other documents </w:t>
      </w:r>
      <w:r w:rsidR="00357BCF">
        <w:t>as required</w:t>
      </w:r>
    </w:p>
    <w:p w14:paraId="114805D2" w14:textId="77777777" w:rsidR="00EA2259" w:rsidRPr="00EA2259" w:rsidRDefault="00EA2259" w:rsidP="00EA2259">
      <w:pPr>
        <w:pStyle w:val="Heading2"/>
      </w:pPr>
      <w:bookmarkStart w:id="82" w:name="_Toc114643495"/>
      <w:bookmarkStart w:id="83" w:name="_Toc126049434"/>
      <w:bookmarkEnd w:id="78"/>
      <w:r w:rsidRPr="00EA2259">
        <w:lastRenderedPageBreak/>
        <w:t>Outcome notification</w:t>
      </w:r>
      <w:bookmarkEnd w:id="82"/>
      <w:bookmarkEnd w:id="83"/>
      <w:r w:rsidRPr="00EA2259">
        <w:t xml:space="preserve"> </w:t>
      </w:r>
    </w:p>
    <w:p w14:paraId="6C20F717" w14:textId="4B1FB4CC" w:rsidR="00955E0F" w:rsidRPr="00D9016A" w:rsidRDefault="00EA2259" w:rsidP="00922240">
      <w:r w:rsidRPr="00EA2259">
        <w:t xml:space="preserve">Successful and unsuccessful applicants will be notified of their application outcome </w:t>
      </w:r>
      <w:r w:rsidRPr="0018430E">
        <w:rPr>
          <w:color w:val="auto"/>
        </w:rPr>
        <w:t>in writing</w:t>
      </w:r>
      <w:r w:rsidR="00FE20A6" w:rsidRPr="0018430E">
        <w:rPr>
          <w:color w:val="auto"/>
        </w:rPr>
        <w:t xml:space="preserve"> </w:t>
      </w:r>
      <w:r w:rsidR="00507095" w:rsidRPr="0018430E">
        <w:rPr>
          <w:color w:val="auto"/>
        </w:rPr>
        <w:t xml:space="preserve">in </w:t>
      </w:r>
      <w:r w:rsidR="0026263C" w:rsidRPr="0018430E">
        <w:rPr>
          <w:color w:val="auto"/>
        </w:rPr>
        <w:t>April</w:t>
      </w:r>
      <w:r w:rsidR="00D35B8E" w:rsidRPr="0018430E">
        <w:rPr>
          <w:color w:val="auto"/>
        </w:rPr>
        <w:t xml:space="preserve"> </w:t>
      </w:r>
      <w:r w:rsidR="00FE20A6" w:rsidRPr="0018430E">
        <w:rPr>
          <w:color w:val="auto"/>
        </w:rPr>
        <w:t>2023</w:t>
      </w:r>
      <w:r w:rsidRPr="0018430E">
        <w:rPr>
          <w:color w:val="auto"/>
        </w:rPr>
        <w:t xml:space="preserve">. The </w:t>
      </w:r>
      <w:r w:rsidR="003137DF" w:rsidRPr="0018430E">
        <w:rPr>
          <w:color w:val="auto"/>
        </w:rPr>
        <w:t xml:space="preserve">successful </w:t>
      </w:r>
      <w:r w:rsidRPr="0018430E">
        <w:rPr>
          <w:color w:val="auto"/>
        </w:rPr>
        <w:t xml:space="preserve">applicant's name, event name and the funding amount may be made </w:t>
      </w:r>
      <w:r w:rsidRPr="00EA2259">
        <w:t xml:space="preserve">publicly available, including publication on the department’s website and media releases. </w:t>
      </w:r>
    </w:p>
    <w:p w14:paraId="036EF6DB" w14:textId="77777777" w:rsidR="00D55BC4" w:rsidRPr="00D55BC4" w:rsidRDefault="00D55BC4" w:rsidP="00D55BC4">
      <w:pPr>
        <w:pStyle w:val="Heading1"/>
      </w:pPr>
      <w:bookmarkStart w:id="84" w:name="_Toc69127797"/>
      <w:bookmarkStart w:id="85" w:name="_Toc96430018"/>
      <w:bookmarkStart w:id="86" w:name="_Toc114643496"/>
      <w:bookmarkStart w:id="87" w:name="_Toc126049435"/>
      <w:bookmarkEnd w:id="28"/>
      <w:r w:rsidRPr="00D55BC4">
        <w:lastRenderedPageBreak/>
        <w:t>Grant agreements</w:t>
      </w:r>
      <w:bookmarkEnd w:id="84"/>
      <w:bookmarkEnd w:id="85"/>
      <w:bookmarkEnd w:id="86"/>
      <w:bookmarkEnd w:id="87"/>
    </w:p>
    <w:p w14:paraId="345EF68D" w14:textId="77777777" w:rsidR="003137DF" w:rsidRDefault="00D55BC4" w:rsidP="00D55BC4">
      <w:r>
        <w:t>S</w:t>
      </w:r>
      <w:r w:rsidRPr="006C036E">
        <w:t xml:space="preserve">uccessful applicants will be </w:t>
      </w:r>
      <w:r>
        <w:t>required</w:t>
      </w:r>
      <w:r w:rsidRPr="006C036E">
        <w:t xml:space="preserve"> to enter into a legally binding grant agreement with the Department</w:t>
      </w:r>
      <w:r>
        <w:t xml:space="preserve"> </w:t>
      </w:r>
      <w:r w:rsidRPr="00703E3F">
        <w:t>on its standard terms and conditions</w:t>
      </w:r>
      <w:r w:rsidRPr="006C036E">
        <w:t xml:space="preserve">. </w:t>
      </w:r>
    </w:p>
    <w:p w14:paraId="5300EAC0" w14:textId="7786DC5B" w:rsidR="00D55BC4" w:rsidRPr="006C036E" w:rsidRDefault="00D55BC4" w:rsidP="00D55BC4">
      <w:r w:rsidRPr="006C036E">
        <w:t>The grant agreement details all funding obligations and conditions.</w:t>
      </w:r>
      <w:r>
        <w:t xml:space="preserve"> </w:t>
      </w:r>
      <w:r w:rsidRPr="006563D0">
        <w:t xml:space="preserve">Grant </w:t>
      </w:r>
      <w:r w:rsidR="00981E66">
        <w:t>a</w:t>
      </w:r>
      <w:r w:rsidRPr="006563D0">
        <w:t xml:space="preserve">greements must be signed by </w:t>
      </w:r>
      <w:r w:rsidR="00303C5F">
        <w:t>an</w:t>
      </w:r>
      <w:r w:rsidRPr="006563D0">
        <w:t xml:space="preserve"> authorised representative with the requisite authority to bind the organisation</w:t>
      </w:r>
      <w:r>
        <w:t>.</w:t>
      </w:r>
      <w:r w:rsidR="003137DF" w:rsidRPr="003137DF">
        <w:t xml:space="preserve"> </w:t>
      </w:r>
      <w:r w:rsidR="003137DF" w:rsidRPr="00024E4C">
        <w:t xml:space="preserve">Successful applicants </w:t>
      </w:r>
      <w:r w:rsidR="004A2E14">
        <w:t xml:space="preserve">will </w:t>
      </w:r>
      <w:r w:rsidR="003137DF" w:rsidRPr="00024E4C">
        <w:t>be required to accept the department’s payment schedule</w:t>
      </w:r>
      <w:r w:rsidR="004A2E14">
        <w:t xml:space="preserve"> noting</w:t>
      </w:r>
      <w:r w:rsidR="003137DF">
        <w:t xml:space="preserve"> </w:t>
      </w:r>
      <w:r w:rsidR="003137DF" w:rsidRPr="00024E4C">
        <w:t xml:space="preserve">payments will be made according to set milestone deliverables, </w:t>
      </w:r>
      <w:r w:rsidR="004A2E14">
        <w:t xml:space="preserve">detailed </w:t>
      </w:r>
      <w:r w:rsidR="003137DF" w:rsidRPr="00024E4C">
        <w:t xml:space="preserve">in the </w:t>
      </w:r>
      <w:r w:rsidR="00DF016F">
        <w:t>grant</w:t>
      </w:r>
      <w:r w:rsidR="003137DF" w:rsidRPr="00024E4C">
        <w:t xml:space="preserve"> agreement</w:t>
      </w:r>
      <w:r w:rsidR="003137DF">
        <w:t>.</w:t>
      </w:r>
    </w:p>
    <w:p w14:paraId="653AB49E" w14:textId="77777777" w:rsidR="00D55BC4" w:rsidRPr="006C036E" w:rsidRDefault="00D55BC4" w:rsidP="00D55BC4">
      <w:r>
        <w:t>Successful a</w:t>
      </w:r>
      <w:r w:rsidRPr="006C036E">
        <w:t xml:space="preserve">pplicants will </w:t>
      </w:r>
      <w:r w:rsidRPr="0018430E">
        <w:rPr>
          <w:color w:val="auto"/>
        </w:rPr>
        <w:t xml:space="preserve">have 15 calendar days from </w:t>
      </w:r>
      <w:r w:rsidRPr="006C036E">
        <w:t xml:space="preserve">the date </w:t>
      </w:r>
      <w:r w:rsidRPr="000C001F">
        <w:t>of the Letter of</w:t>
      </w:r>
      <w:r w:rsidRPr="006C036E">
        <w:t xml:space="preserve"> Offer to accept </w:t>
      </w:r>
      <w:r>
        <w:t xml:space="preserve">and </w:t>
      </w:r>
      <w:r w:rsidRPr="006C036E">
        <w:t xml:space="preserve">to </w:t>
      </w:r>
      <w:r>
        <w:t xml:space="preserve">sign </w:t>
      </w:r>
      <w:r w:rsidRPr="006C036E">
        <w:t>the grant agreement with the Department. The offer may be withdrawn if the grant agreement is not executed within the timeframe.</w:t>
      </w:r>
      <w:r>
        <w:t xml:space="preserve"> </w:t>
      </w:r>
    </w:p>
    <w:p w14:paraId="18300EAE" w14:textId="77777777" w:rsidR="00D55BC4" w:rsidRPr="00734AF8" w:rsidRDefault="00D55BC4" w:rsidP="00D55BC4">
      <w:r w:rsidRPr="006C036E">
        <w:t>The</w:t>
      </w:r>
      <w:r w:rsidRPr="006C036E" w:rsidDel="001B00D0">
        <w:t xml:space="preserve"> </w:t>
      </w:r>
      <w:r>
        <w:t>event</w:t>
      </w:r>
      <w:r w:rsidRPr="006C036E">
        <w:t xml:space="preserve"> must not commence until a grant agreement has been duly executed by both the successful applicant</w:t>
      </w:r>
      <w:r>
        <w:t xml:space="preserve"> and</w:t>
      </w:r>
      <w:r w:rsidRPr="002C5C91">
        <w:t xml:space="preserve"> </w:t>
      </w:r>
      <w:r w:rsidRPr="006C036E">
        <w:t>the Department.</w:t>
      </w:r>
    </w:p>
    <w:p w14:paraId="495B8BE0" w14:textId="766A01E4" w:rsidR="00D55BC4" w:rsidRDefault="00D7583A" w:rsidP="00D55BC4">
      <w:r>
        <w:t>Fifty</w:t>
      </w:r>
      <w:r w:rsidR="00D55BC4" w:rsidRPr="052A67FF">
        <w:t xml:space="preserve"> per cent of awarded funding will be provided upon signing of the grant agreement, and the remaining 50 per cent will be provided upon successful delivery of the event and completion of any reporting requirements.</w:t>
      </w:r>
    </w:p>
    <w:p w14:paraId="27BCEF0E" w14:textId="5BD79032" w:rsidR="00D55BC4" w:rsidRPr="006C036E" w:rsidRDefault="00D55BC4" w:rsidP="00D55BC4">
      <w:r w:rsidRPr="006C036E">
        <w:t xml:space="preserve">The department reserves the right to withhold the balance of the funding, if the organiser fails to </w:t>
      </w:r>
      <w:r w:rsidR="0073788E">
        <w:t xml:space="preserve">comply with </w:t>
      </w:r>
      <w:r w:rsidRPr="006C036E">
        <w:t>the obligations outlined in the funding agreement</w:t>
      </w:r>
      <w:r>
        <w:t>.</w:t>
      </w:r>
    </w:p>
    <w:p w14:paraId="33AA9A43" w14:textId="77777777" w:rsidR="00D55BC4" w:rsidRDefault="00D55BC4" w:rsidP="00D55BC4">
      <w:r w:rsidRPr="00024E4C">
        <w:t xml:space="preserve">The department will not be responsible for shortfalls in event budgets if the </w:t>
      </w:r>
      <w:r>
        <w:t>successful applicant</w:t>
      </w:r>
      <w:r w:rsidRPr="00024E4C">
        <w:t xml:space="preserve"> is unable to meet event costs</w:t>
      </w:r>
      <w:r>
        <w:t xml:space="preserve">.  </w:t>
      </w:r>
    </w:p>
    <w:p w14:paraId="2CB0DC32" w14:textId="77777777" w:rsidR="00C067A0" w:rsidRDefault="00C067A0" w:rsidP="00D55BC4"/>
    <w:p w14:paraId="32ECCD0A" w14:textId="77777777" w:rsidR="00D55BC4" w:rsidRPr="00D55BC4" w:rsidRDefault="00D55BC4" w:rsidP="00D55BC4">
      <w:pPr>
        <w:pStyle w:val="Heading1"/>
      </w:pPr>
      <w:bookmarkStart w:id="88" w:name="_Toc69127799"/>
      <w:bookmarkStart w:id="89" w:name="_Toc96430020"/>
      <w:bookmarkStart w:id="90" w:name="_Toc114643497"/>
      <w:bookmarkStart w:id="91" w:name="_Toc126049436"/>
      <w:r w:rsidRPr="00D55BC4">
        <w:lastRenderedPageBreak/>
        <w:t>Publicity/Acknowledgement</w:t>
      </w:r>
      <w:bookmarkEnd w:id="88"/>
      <w:bookmarkEnd w:id="89"/>
      <w:bookmarkEnd w:id="90"/>
      <w:bookmarkEnd w:id="91"/>
    </w:p>
    <w:p w14:paraId="4182C429" w14:textId="53E6EBD4" w:rsidR="00D55BC4" w:rsidRPr="00646D32" w:rsidRDefault="00D55BC4" w:rsidP="00D55BC4">
      <w:r w:rsidRPr="00646D32">
        <w:t xml:space="preserve">Successful applicants must agree to cooperate with the Department in the promotion of the </w:t>
      </w:r>
      <w:r w:rsidR="00C7784F">
        <w:t>P</w:t>
      </w:r>
      <w:r w:rsidRPr="00646D32">
        <w:t>rogram. This may include involvement in media releases, case studies or promotional events and activities.</w:t>
      </w:r>
    </w:p>
    <w:p w14:paraId="50AC3654" w14:textId="77777777" w:rsidR="00D55BC4" w:rsidRPr="00646D32" w:rsidRDefault="00D55BC4" w:rsidP="00D55BC4">
      <w:r w:rsidRPr="00646D32">
        <w:t>Successful applicants must not make any public announcement or issue any press release regarding the receipt of a grant without prior written approval from the Department.</w:t>
      </w:r>
    </w:p>
    <w:p w14:paraId="79AD21C2" w14:textId="77777777" w:rsidR="00D55BC4" w:rsidRPr="00646D32" w:rsidRDefault="00D55BC4" w:rsidP="00D55BC4">
      <w:r w:rsidRPr="00646D32">
        <w:t xml:space="preserve">The Department may publicise the benefits accruing to the successful applicant and/or the State associated with the provision of the grant and the State’s support for the </w:t>
      </w:r>
      <w:r>
        <w:t>event</w:t>
      </w:r>
      <w:r w:rsidRPr="00646D32">
        <w:t>. The Department may include the name of the successful applicant and/or grant amount in any publicity material and in the Department’s annual report.</w:t>
      </w:r>
    </w:p>
    <w:p w14:paraId="01F5093D" w14:textId="77777777" w:rsidR="00D55BC4" w:rsidRPr="00646D32" w:rsidRDefault="00D55BC4" w:rsidP="00D55BC4">
      <w:r w:rsidRPr="00646D32">
        <w:t>The Department may request successful applicant fact checks any text and seeks approval to use any owned imagery associated with the activity prior to the publication of any such promotional materials.</w:t>
      </w:r>
    </w:p>
    <w:p w14:paraId="30702315" w14:textId="77777777" w:rsidR="00D55BC4" w:rsidRPr="00646D32" w:rsidRDefault="00D55BC4" w:rsidP="00D55BC4">
      <w:r w:rsidRPr="00646D32">
        <w:t>If requested by the Department, the successful applicant must ensure that the State’s support for the grant is acknowledged on all promotional materials and appropriate signage consistent with the Guidelines for Victorian Government Advertising and Communications or as otherwise specified by the Department.</w:t>
      </w:r>
    </w:p>
    <w:p w14:paraId="58FE9FC4" w14:textId="77777777" w:rsidR="00D55BC4" w:rsidRPr="00D55BC4" w:rsidRDefault="00D55BC4" w:rsidP="00D55BC4">
      <w:pPr>
        <w:pStyle w:val="Heading1"/>
      </w:pPr>
      <w:bookmarkStart w:id="92" w:name="_Toc69127804"/>
      <w:bookmarkStart w:id="93" w:name="_Toc96430021"/>
      <w:bookmarkStart w:id="94" w:name="_Toc114643498"/>
      <w:bookmarkStart w:id="95" w:name="_Toc126049437"/>
      <w:r w:rsidRPr="00D55BC4">
        <w:lastRenderedPageBreak/>
        <w:t>Reporting for Program Evaluation</w:t>
      </w:r>
      <w:bookmarkEnd w:id="92"/>
      <w:bookmarkEnd w:id="93"/>
      <w:bookmarkEnd w:id="94"/>
      <w:bookmarkEnd w:id="95"/>
    </w:p>
    <w:p w14:paraId="3B440974" w14:textId="5CF21142" w:rsidR="00D55BC4" w:rsidRPr="00646D32" w:rsidRDefault="00D55BC4" w:rsidP="00D55BC4">
      <w:r w:rsidRPr="00646D32">
        <w:t xml:space="preserve">As a condition of funding, successful applicants will be required to participate in any program monitoring and evaluation activities initiated by the Department. This may include completing surveys throughout the </w:t>
      </w:r>
      <w:r w:rsidR="00C7784F">
        <w:t>P</w:t>
      </w:r>
      <w:r w:rsidRPr="00646D32">
        <w:t xml:space="preserve">rogram to measure progress to achieving outcomes, and for up to three years after program completion. </w:t>
      </w:r>
    </w:p>
    <w:p w14:paraId="3C2B8C85" w14:textId="77777777" w:rsidR="00D55BC4" w:rsidRPr="00646D32" w:rsidRDefault="00D55BC4" w:rsidP="00D55BC4">
      <w:r w:rsidRPr="00646D32">
        <w:t xml:space="preserve">Reporting is critical to the Department in understanding program impact, supporting continuous improvement in program design and delivery, and delivering more effective grant programs to the people of Victoria.  </w:t>
      </w:r>
    </w:p>
    <w:p w14:paraId="6DBA9AF0" w14:textId="77777777" w:rsidR="00D55BC4" w:rsidRPr="00D55BC4" w:rsidRDefault="00D55BC4" w:rsidP="00D55BC4">
      <w:pPr>
        <w:pStyle w:val="Heading1"/>
      </w:pPr>
      <w:bookmarkStart w:id="96" w:name="_Toc69127805"/>
      <w:bookmarkStart w:id="97" w:name="_Toc96430022"/>
      <w:bookmarkStart w:id="98" w:name="_Toc114643499"/>
      <w:bookmarkStart w:id="99" w:name="_Toc126049438"/>
      <w:r w:rsidRPr="00D55BC4">
        <w:lastRenderedPageBreak/>
        <w:t>Privacy and confidentiality</w:t>
      </w:r>
      <w:bookmarkEnd w:id="96"/>
      <w:bookmarkEnd w:id="97"/>
      <w:bookmarkEnd w:id="98"/>
      <w:bookmarkEnd w:id="99"/>
    </w:p>
    <w:p w14:paraId="2AD6D41D" w14:textId="77777777" w:rsidR="00D55BC4" w:rsidRPr="00717A22" w:rsidRDefault="00D55BC4" w:rsidP="00D55BC4">
      <w:r w:rsidRPr="00717A22">
        <w:t xml:space="preserve">Information provided by the </w:t>
      </w:r>
      <w:r>
        <w:t>a</w:t>
      </w:r>
      <w:r w:rsidRPr="00717A22">
        <w:t xml:space="preserve">pplicant for the purpose of this application will be used by the Department for the purposes of assessment of applications, program administration and program review. In making an application, the </w:t>
      </w:r>
      <w:r>
        <w:t>a</w:t>
      </w:r>
      <w:r w:rsidRPr="00717A22">
        <w:t>pplicant consents to the provision of their information to State and Commonwealth Government departments and agencies for the purpose of assessing applications. If there is an intention to include personal information about third parties in the application, please ensure they are aware of and consent to the contents of this privacy statement.</w:t>
      </w:r>
    </w:p>
    <w:p w14:paraId="0E9417CF" w14:textId="77777777" w:rsidR="00D55BC4" w:rsidRDefault="00D55BC4" w:rsidP="00D55BC4">
      <w:r w:rsidRPr="00717A22">
        <w:t xml:space="preserve">Any personal information about the Applicant or a third party will be collected, held, managed, used, disclosed or transferred in accordance with the provisions of the </w:t>
      </w:r>
      <w:r w:rsidRPr="00717A22">
        <w:rPr>
          <w:i/>
          <w:iCs/>
        </w:rPr>
        <w:t>Privacy and Data Protection Act 2014</w:t>
      </w:r>
      <w:r w:rsidRPr="00717A22">
        <w:t xml:space="preserve"> (Vic) and other applicable laws.</w:t>
      </w:r>
    </w:p>
    <w:p w14:paraId="6262074F" w14:textId="77777777" w:rsidR="00D55BC4" w:rsidRDefault="00D55BC4" w:rsidP="00D55BC4">
      <w:pPr>
        <w:rPr>
          <w:color w:val="FF0000"/>
        </w:rPr>
      </w:pPr>
      <w:r w:rsidRPr="00717A22">
        <w:t xml:space="preserve">Enquiries about access to personal information, or for other concerns regarding the privacy of personal information, can be emailed to the Department’s Privacy Unit by emailing </w:t>
      </w:r>
      <w:hyperlink r:id="rId16" w:history="1">
        <w:r w:rsidRPr="0018430E">
          <w:rPr>
            <w:rStyle w:val="Hyperlink"/>
            <w:color w:val="auto"/>
          </w:rPr>
          <w:t>privacy@ecodev.vic.gov.au</w:t>
        </w:r>
      </w:hyperlink>
      <w:r w:rsidRPr="00ED3303">
        <w:rPr>
          <w:szCs w:val="18"/>
        </w:rPr>
        <w:t>. The Department’s privacy policy is also available by emailing the</w:t>
      </w:r>
      <w:r w:rsidRPr="00717A22">
        <w:t xml:space="preserve"> </w:t>
      </w:r>
      <w:r w:rsidRPr="007123BD">
        <w:t>Department’s Privacy Unit</w:t>
      </w:r>
      <w:r w:rsidRPr="009B5E7D">
        <w:t>.</w:t>
      </w:r>
      <w:r w:rsidRPr="009B5E7D">
        <w:rPr>
          <w:color w:val="FF0000"/>
        </w:rPr>
        <w:t xml:space="preserve"> </w:t>
      </w:r>
    </w:p>
    <w:p w14:paraId="3746D4D5" w14:textId="5AEF6B97" w:rsidR="00913E42" w:rsidRPr="00913E42" w:rsidRDefault="00FD0D1E" w:rsidP="00913E42">
      <w:pPr>
        <w:pStyle w:val="Heading1"/>
      </w:pPr>
      <w:bookmarkStart w:id="100" w:name="_Toc120788196"/>
      <w:bookmarkStart w:id="101" w:name="_Toc120788197"/>
      <w:bookmarkStart w:id="102" w:name="_Toc120788198"/>
      <w:bookmarkStart w:id="103" w:name="_Toc120788199"/>
      <w:bookmarkStart w:id="104" w:name="_Toc120788200"/>
      <w:bookmarkStart w:id="105" w:name="_Toc120788201"/>
      <w:bookmarkEnd w:id="100"/>
      <w:bookmarkEnd w:id="101"/>
      <w:bookmarkEnd w:id="102"/>
      <w:bookmarkEnd w:id="103"/>
      <w:bookmarkEnd w:id="104"/>
      <w:bookmarkEnd w:id="105"/>
      <w:r>
        <w:lastRenderedPageBreak/>
        <w:t xml:space="preserve">  </w:t>
      </w:r>
      <w:bookmarkStart w:id="106" w:name="_Toc114643501"/>
      <w:bookmarkStart w:id="107" w:name="_Toc126049439"/>
      <w:r w:rsidR="00913E42" w:rsidRPr="00913E42">
        <w:t>General terms of applying</w:t>
      </w:r>
      <w:bookmarkEnd w:id="106"/>
      <w:bookmarkEnd w:id="107"/>
    </w:p>
    <w:p w14:paraId="335FB344" w14:textId="77777777" w:rsidR="00913E42" w:rsidRPr="00996B92" w:rsidRDefault="00913E42" w:rsidP="00913E42">
      <w:pPr>
        <w:pStyle w:val="Heading2"/>
      </w:pPr>
      <w:bookmarkStart w:id="108" w:name="_Toc96430025"/>
      <w:bookmarkStart w:id="109" w:name="_Toc114643502"/>
      <w:bookmarkStart w:id="110" w:name="_Toc126049440"/>
      <w:bookmarkStart w:id="111" w:name="_Toc69127809"/>
      <w:r w:rsidRPr="00996B92">
        <w:t>Further information</w:t>
      </w:r>
      <w:bookmarkEnd w:id="108"/>
      <w:bookmarkEnd w:id="109"/>
      <w:bookmarkEnd w:id="110"/>
    </w:p>
    <w:p w14:paraId="796D00E8" w14:textId="77777777" w:rsidR="00913E42" w:rsidRPr="00996B92" w:rsidRDefault="00913E42" w:rsidP="00913E42">
      <w:r w:rsidRPr="00996B92">
        <w:t>The Department reserves the right to request the applicant provide further information in connection with its application should it be</w:t>
      </w:r>
      <w:r w:rsidRPr="00996B92">
        <w:rPr>
          <w:b/>
        </w:rPr>
        <w:t xml:space="preserve"> </w:t>
      </w:r>
      <w:r w:rsidRPr="00996B92">
        <w:t>deemed necessary.</w:t>
      </w:r>
    </w:p>
    <w:p w14:paraId="65C8AFE0" w14:textId="77777777" w:rsidR="00913E42" w:rsidRPr="00996B92" w:rsidRDefault="00913E42" w:rsidP="00913E42">
      <w:pPr>
        <w:pStyle w:val="Heading2"/>
      </w:pPr>
      <w:bookmarkStart w:id="112" w:name="_Toc96430026"/>
      <w:bookmarkStart w:id="113" w:name="_Toc114643503"/>
      <w:bookmarkStart w:id="114" w:name="_Toc126049441"/>
      <w:r w:rsidRPr="00996B92">
        <w:t>Amendments</w:t>
      </w:r>
      <w:bookmarkEnd w:id="112"/>
      <w:bookmarkEnd w:id="113"/>
      <w:bookmarkEnd w:id="114"/>
    </w:p>
    <w:p w14:paraId="5F101E48" w14:textId="77777777" w:rsidR="00913E42" w:rsidRDefault="00913E42" w:rsidP="00913E42">
      <w:r w:rsidRPr="00913E42">
        <w:t xml:space="preserve">The Department reserves the right to amend these guidelines and the application process at any time as it deems appropriate and without notice. </w:t>
      </w:r>
    </w:p>
    <w:p w14:paraId="2FC23C7B" w14:textId="7648980A" w:rsidR="00C067A0" w:rsidRPr="004B0263" w:rsidRDefault="00C067A0" w:rsidP="004B0263">
      <w:pPr>
        <w:rPr>
          <w:szCs w:val="18"/>
        </w:rPr>
      </w:pPr>
      <w:r w:rsidRPr="004B0263">
        <w:rPr>
          <w:szCs w:val="18"/>
        </w:rPr>
        <w:t xml:space="preserve">If any changes need to be made to the style, date, or location of an event which has successfully received a grant under this program, the Department must be advised in writing promptly via email </w:t>
      </w:r>
      <w:r w:rsidR="00A0403D">
        <w:rPr>
          <w:szCs w:val="18"/>
        </w:rPr>
        <w:t xml:space="preserve">to </w:t>
      </w:r>
      <w:hyperlink r:id="rId17" w:history="1">
        <w:r w:rsidR="00357BCF" w:rsidRPr="00267C06">
          <w:rPr>
            <w:rStyle w:val="Hyperlink"/>
          </w:rPr>
          <w:t>SMEprogram@ecodev.vic.gov.au</w:t>
        </w:r>
      </w:hyperlink>
      <w:r w:rsidR="0026263C">
        <w:rPr>
          <w:szCs w:val="18"/>
        </w:rPr>
        <w:t xml:space="preserve">. </w:t>
      </w:r>
      <w:r w:rsidRPr="004B0263">
        <w:rPr>
          <w:szCs w:val="18"/>
        </w:rPr>
        <w:t xml:space="preserve"> </w:t>
      </w:r>
    </w:p>
    <w:p w14:paraId="42D317AC" w14:textId="07C5F3FD" w:rsidR="00C067A0" w:rsidRPr="004B0263" w:rsidRDefault="00C067A0" w:rsidP="004B0263">
      <w:r w:rsidRPr="004B0263">
        <w:t>Any amendments to event details will be considered on a case-by-case basis and in such event the event cannot proceed, the Department may require the refund of the whole or part of the Grant as deemed appropriate.</w:t>
      </w:r>
    </w:p>
    <w:p w14:paraId="08669E4E" w14:textId="77777777" w:rsidR="00913E42" w:rsidRPr="00913E42" w:rsidRDefault="00913E42" w:rsidP="00913E42">
      <w:pPr>
        <w:pStyle w:val="Heading2"/>
      </w:pPr>
      <w:bookmarkStart w:id="115" w:name="_Toc119064386"/>
      <w:bookmarkStart w:id="116" w:name="_Toc119925008"/>
      <w:bookmarkStart w:id="117" w:name="_Toc69127815"/>
      <w:bookmarkStart w:id="118" w:name="_Toc96430027"/>
      <w:bookmarkStart w:id="119" w:name="_Toc114643504"/>
      <w:bookmarkStart w:id="120" w:name="_Toc126049442"/>
      <w:bookmarkEnd w:id="111"/>
      <w:bookmarkEnd w:id="115"/>
      <w:bookmarkEnd w:id="116"/>
      <w:r w:rsidRPr="00913E42">
        <w:t>Further Resources</w:t>
      </w:r>
      <w:bookmarkEnd w:id="117"/>
      <w:bookmarkEnd w:id="118"/>
      <w:bookmarkEnd w:id="119"/>
      <w:bookmarkEnd w:id="120"/>
      <w:r w:rsidRPr="00913E42">
        <w:t xml:space="preserve"> </w:t>
      </w:r>
    </w:p>
    <w:p w14:paraId="63D3CA42" w14:textId="1524D0E9" w:rsidR="00913E42" w:rsidRPr="00913E42" w:rsidRDefault="00913E42" w:rsidP="00913E42">
      <w:r w:rsidRPr="00913E42">
        <w:t xml:space="preserve">Further information regarding this program can be found here: </w:t>
      </w:r>
      <w:r w:rsidR="003000D0" w:rsidRPr="00012BFC">
        <w:rPr>
          <w:rFonts w:cs="Segoe UI"/>
          <w:color w:val="242424"/>
          <w:szCs w:val="18"/>
          <w:shd w:val="clear" w:color="auto" w:fill="FFFFFF"/>
        </w:rPr>
        <w:t>business.vic.gov.au/small-and-medium-events-program</w:t>
      </w:r>
      <w:r w:rsidRPr="00012BFC">
        <w:t>.</w:t>
      </w:r>
    </w:p>
    <w:p w14:paraId="4C0709DA" w14:textId="324E35F0" w:rsidR="00967764" w:rsidRPr="00913E42" w:rsidRDefault="00913E42" w:rsidP="00913E42">
      <w:r w:rsidRPr="00913E42">
        <w:t xml:space="preserve">If you have any questions during the application period, </w:t>
      </w:r>
      <w:r w:rsidR="004A26CF" w:rsidRPr="001504AE">
        <w:t xml:space="preserve">please email </w:t>
      </w:r>
      <w:hyperlink r:id="rId18" w:history="1">
        <w:r w:rsidR="00A92838" w:rsidRPr="001504AE">
          <w:rPr>
            <w:rStyle w:val="Hyperlink"/>
          </w:rPr>
          <w:t>SMEprogram@ecodev.vic.gov.a</w:t>
        </w:r>
        <w:r w:rsidR="00A92838" w:rsidRPr="00DA650E">
          <w:rPr>
            <w:rStyle w:val="Hyperlink"/>
          </w:rPr>
          <w:t xml:space="preserve">u </w:t>
        </w:r>
      </w:hyperlink>
      <w:r w:rsidR="004A26CF" w:rsidRPr="001504AE">
        <w:t xml:space="preserve">or visit the Business Victoria website's Contact Us page at </w:t>
      </w:r>
      <w:hyperlink r:id="rId19" w:history="1">
        <w:r w:rsidR="004A26CF" w:rsidRPr="001504AE">
          <w:t>https://business.vic.gov.au/contact-us</w:t>
        </w:r>
      </w:hyperlink>
      <w:r w:rsidR="004A26CF" w:rsidRPr="001504AE">
        <w:t>.</w:t>
      </w:r>
    </w:p>
    <w:sectPr w:rsidR="00967764" w:rsidRPr="00913E42" w:rsidSect="0017057E">
      <w:headerReference w:type="even" r:id="rId20"/>
      <w:headerReference w:type="default" r:id="rId21"/>
      <w:headerReference w:type="first" r:id="rId22"/>
      <w:type w:val="oddPage"/>
      <w:pgSz w:w="11906" w:h="16838" w:code="9"/>
      <w:pgMar w:top="1134" w:right="1701" w:bottom="1134" w:left="1134" w:header="709" w:footer="5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704B8" w14:textId="77777777" w:rsidR="00767993" w:rsidRDefault="00767993" w:rsidP="006B45F1">
      <w:r>
        <w:separator/>
      </w:r>
    </w:p>
    <w:p w14:paraId="0A0CF464" w14:textId="77777777" w:rsidR="00767993" w:rsidRDefault="00767993" w:rsidP="006B45F1"/>
    <w:p w14:paraId="2E08693C" w14:textId="77777777" w:rsidR="00767993" w:rsidRDefault="00767993"/>
  </w:endnote>
  <w:endnote w:type="continuationSeparator" w:id="0">
    <w:p w14:paraId="5F99BC58" w14:textId="77777777" w:rsidR="00767993" w:rsidRDefault="00767993" w:rsidP="006B45F1">
      <w:r>
        <w:continuationSeparator/>
      </w:r>
    </w:p>
    <w:p w14:paraId="27DB689E" w14:textId="77777777" w:rsidR="00767993" w:rsidRDefault="00767993" w:rsidP="006B45F1"/>
    <w:p w14:paraId="27493769" w14:textId="77777777" w:rsidR="00767993" w:rsidRDefault="00767993"/>
  </w:endnote>
  <w:endnote w:type="continuationNotice" w:id="1">
    <w:p w14:paraId="21EF438A" w14:textId="77777777" w:rsidR="00767993" w:rsidRDefault="00767993">
      <w:pPr>
        <w:spacing w:before="0" w:after="0"/>
      </w:pPr>
    </w:p>
    <w:p w14:paraId="72FECF4F" w14:textId="77777777" w:rsidR="00767993" w:rsidRDefault="007679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IC Light">
    <w:panose1 w:val="00000400000000000000"/>
    <w:charset w:val="00"/>
    <w:family w:val="auto"/>
    <w:pitch w:val="variable"/>
    <w:sig w:usb0="00000007" w:usb1="00000000" w:usb2="00000000" w:usb3="00000000" w:csb0="00000093" w:csb1="00000000"/>
  </w:font>
  <w:font w:name="ArialMT">
    <w:altName w:val="Arial"/>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4211"/>
    </w:tblGrid>
    <w:sdt>
      <w:sdtPr>
        <w:id w:val="1097994085"/>
        <w:docPartObj>
          <w:docPartGallery w:val="Page Numbers (Bottom of Page)"/>
          <w:docPartUnique/>
        </w:docPartObj>
      </w:sdtPr>
      <w:sdtEndPr/>
      <w:sdtContent>
        <w:sdt>
          <w:sdtPr>
            <w:id w:val="-726373178"/>
            <w:docPartObj>
              <w:docPartGallery w:val="Page Numbers (Top of Page)"/>
              <w:docPartUnique/>
            </w:docPartObj>
          </w:sdtPr>
          <w:sdtEndPr/>
          <w:sdtContent>
            <w:tr w:rsidR="008B1B9A" w:rsidRPr="00FB0DEA" w14:paraId="117BDEE0" w14:textId="77777777" w:rsidTr="002A3310">
              <w:tc>
                <w:tcPr>
                  <w:tcW w:w="3402" w:type="dxa"/>
                  <w:vAlign w:val="center"/>
                </w:tcPr>
                <w:p w14:paraId="66173C0D" w14:textId="0D17CC3B" w:rsidR="001504AE" w:rsidRPr="005723C8" w:rsidRDefault="00E239E2" w:rsidP="008B1B9A">
                  <w:pPr>
                    <w:pStyle w:val="Footer"/>
                    <w:rPr>
                      <w:noProof/>
                    </w:rPr>
                  </w:pPr>
                  <w:r>
                    <w:rPr>
                      <w:noProof/>
                    </w:rPr>
                    <mc:AlternateContent>
                      <mc:Choice Requires="wps">
                        <w:drawing>
                          <wp:anchor distT="0" distB="0" distL="114300" distR="114300" simplePos="0" relativeHeight="251641856" behindDoc="0" locked="0" layoutInCell="0" allowOverlap="1" wp14:anchorId="0E395639" wp14:editId="1967846B">
                            <wp:simplePos x="0" y="0"/>
                            <wp:positionH relativeFrom="page">
                              <wp:posOffset>0</wp:posOffset>
                            </wp:positionH>
                            <wp:positionV relativeFrom="page">
                              <wp:posOffset>10228580</wp:posOffset>
                            </wp:positionV>
                            <wp:extent cx="7560310" cy="273050"/>
                            <wp:effectExtent l="0" t="0" r="0" b="12700"/>
                            <wp:wrapNone/>
                            <wp:docPr id="2" name="MSIPCMaf4244658fd475026a785b05"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91E59C" w14:textId="4BC825A9" w:rsidR="00E239E2" w:rsidRPr="00EB7918" w:rsidRDefault="00EB7918" w:rsidP="00EB7918">
                                        <w:pPr>
                                          <w:spacing w:before="0" w:after="0"/>
                                          <w:jc w:val="center"/>
                                          <w:rPr>
                                            <w:rFonts w:ascii="Arial" w:hAnsi="Arial" w:cs="Arial"/>
                                            <w:color w:val="000000"/>
                                            <w:sz w:val="24"/>
                                          </w:rPr>
                                        </w:pPr>
                                        <w:r w:rsidRPr="00EB7918">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395639" id="_x0000_t202" coordsize="21600,21600" o:spt="202" path="m,l,21600r21600,l21600,xe">
                            <v:stroke joinstyle="miter"/>
                            <v:path gradientshapeok="t" o:connecttype="rect"/>
                          </v:shapetype>
                          <v:shape id="MSIPCMaf4244658fd475026a785b05" o:spid="_x0000_s1029" type="#_x0000_t202" alt="{&quot;HashCode&quot;:376260202,&quot;Height&quot;:841.0,&quot;Width&quot;:595.0,&quot;Placement&quot;:&quot;Footer&quot;,&quot;Index&quot;:&quot;Primary&quot;,&quot;Section&quot;:1,&quot;Top&quot;:0.0,&quot;Left&quot;:0.0}" style="position:absolute;margin-left:0;margin-top:805.4pt;width:595.3pt;height:21.5pt;z-index:2516418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5091E59C" w14:textId="4BC825A9" w:rsidR="00E239E2" w:rsidRPr="00EB7918" w:rsidRDefault="00EB7918" w:rsidP="00EB7918">
                                  <w:pPr>
                                    <w:spacing w:before="0" w:after="0"/>
                                    <w:jc w:val="center"/>
                                    <w:rPr>
                                      <w:rFonts w:ascii="Arial" w:hAnsi="Arial" w:cs="Arial"/>
                                      <w:color w:val="000000"/>
                                      <w:sz w:val="24"/>
                                    </w:rPr>
                                  </w:pPr>
                                  <w:r w:rsidRPr="00EB7918">
                                    <w:rPr>
                                      <w:rFonts w:ascii="Arial" w:hAnsi="Arial" w:cs="Arial"/>
                                      <w:color w:val="000000"/>
                                      <w:sz w:val="24"/>
                                    </w:rPr>
                                    <w:t>OFFICIAL</w:t>
                                  </w:r>
                                </w:p>
                              </w:txbxContent>
                            </v:textbox>
                            <w10:wrap anchorx="page" anchory="page"/>
                          </v:shape>
                        </w:pict>
                      </mc:Fallback>
                    </mc:AlternateContent>
                  </w:r>
                  <w:r w:rsidR="00913E42">
                    <w:rPr>
                      <w:noProof/>
                    </w:rPr>
                    <w:t xml:space="preserve">Small and Medium Events Program Guidelines – </w:t>
                  </w:r>
                  <w:r w:rsidR="00A50A63">
                    <w:rPr>
                      <w:noProof/>
                    </w:rPr>
                    <w:t>February</w:t>
                  </w:r>
                  <w:r w:rsidR="00872D79">
                    <w:rPr>
                      <w:noProof/>
                    </w:rPr>
                    <w:t xml:space="preserve"> 2023</w:t>
                  </w:r>
                </w:p>
              </w:tc>
              <w:tc>
                <w:tcPr>
                  <w:tcW w:w="2410" w:type="dxa"/>
                  <w:vAlign w:val="center"/>
                </w:tcPr>
                <w:p w14:paraId="2467B1F7" w14:textId="77777777" w:rsidR="008B1B9A" w:rsidRPr="005723C8" w:rsidRDefault="008B1B9A" w:rsidP="008B1B9A">
                  <w:pPr>
                    <w:pStyle w:val="Footer"/>
                    <w:jc w:val="center"/>
                    <w:rPr>
                      <w:rStyle w:val="PageNumber"/>
                    </w:rPr>
                  </w:pPr>
                  <w:r w:rsidRPr="007C71AA">
                    <w:rPr>
                      <w:rStyle w:val="PageNumber"/>
                      <w:color w:val="404040" w:themeColor="text1" w:themeTint="BF"/>
                    </w:rPr>
                    <w:fldChar w:fldCharType="begin"/>
                  </w:r>
                  <w:r w:rsidRPr="007C71AA">
                    <w:rPr>
                      <w:rStyle w:val="PageNumber"/>
                      <w:color w:val="404040" w:themeColor="text1" w:themeTint="BF"/>
                    </w:rPr>
                    <w:instrText xml:space="preserve"> PAGE </w:instrText>
                  </w:r>
                  <w:r w:rsidRPr="007C71AA">
                    <w:rPr>
                      <w:rStyle w:val="PageNumber"/>
                      <w:color w:val="404040" w:themeColor="text1" w:themeTint="BF"/>
                    </w:rPr>
                    <w:fldChar w:fldCharType="separate"/>
                  </w:r>
                  <w:r>
                    <w:rPr>
                      <w:rStyle w:val="PageNumber"/>
                      <w:color w:val="404040" w:themeColor="text1" w:themeTint="BF"/>
                    </w:rPr>
                    <w:t>2</w:t>
                  </w:r>
                  <w:r w:rsidRPr="007C71AA">
                    <w:rPr>
                      <w:rStyle w:val="PageNumber"/>
                      <w:color w:val="404040" w:themeColor="text1" w:themeTint="BF"/>
                    </w:rPr>
                    <w:fldChar w:fldCharType="end"/>
                  </w:r>
                  <w:r w:rsidRPr="007C71AA">
                    <w:rPr>
                      <w:rStyle w:val="PageNumber"/>
                      <w:color w:val="404040" w:themeColor="text1" w:themeTint="BF"/>
                    </w:rPr>
                    <w:t xml:space="preserve"> of </w:t>
                  </w:r>
                  <w:r w:rsidRPr="007C71AA">
                    <w:rPr>
                      <w:rStyle w:val="PageNumber"/>
                      <w:color w:val="404040" w:themeColor="text1" w:themeTint="BF"/>
                    </w:rPr>
                    <w:fldChar w:fldCharType="begin"/>
                  </w:r>
                  <w:r w:rsidRPr="007C71AA">
                    <w:rPr>
                      <w:rStyle w:val="PageNumber"/>
                      <w:color w:val="404040" w:themeColor="text1" w:themeTint="BF"/>
                    </w:rPr>
                    <w:instrText xml:space="preserve"> NUMPAGES  </w:instrText>
                  </w:r>
                  <w:r w:rsidRPr="007C71AA">
                    <w:rPr>
                      <w:rStyle w:val="PageNumber"/>
                      <w:color w:val="404040" w:themeColor="text1" w:themeTint="BF"/>
                    </w:rPr>
                    <w:fldChar w:fldCharType="separate"/>
                  </w:r>
                  <w:r>
                    <w:rPr>
                      <w:rStyle w:val="PageNumber"/>
                      <w:color w:val="404040" w:themeColor="text1" w:themeTint="BF"/>
                    </w:rPr>
                    <w:t>5</w:t>
                  </w:r>
                  <w:r w:rsidRPr="007C71AA">
                    <w:rPr>
                      <w:rStyle w:val="PageNumber"/>
                      <w:color w:val="404040" w:themeColor="text1" w:themeTint="BF"/>
                    </w:rPr>
                    <w:fldChar w:fldCharType="end"/>
                  </w:r>
                </w:p>
              </w:tc>
              <w:tc>
                <w:tcPr>
                  <w:tcW w:w="4211" w:type="dxa"/>
                </w:tcPr>
                <w:p w14:paraId="39231225" w14:textId="6C89381D" w:rsidR="008B1B9A" w:rsidRPr="00FB0DEA" w:rsidRDefault="008B1B9A" w:rsidP="008B1B9A">
                  <w:pPr>
                    <w:pStyle w:val="Footer"/>
                  </w:pPr>
                </w:p>
              </w:tc>
            </w:tr>
          </w:sdtContent>
        </w:sdt>
      </w:sdtContent>
    </w:sdt>
  </w:tbl>
  <w:p w14:paraId="5821EB26" w14:textId="7AFB291B" w:rsidR="008B1B9A" w:rsidRPr="005723C8" w:rsidRDefault="00700734" w:rsidP="008B1B9A">
    <w:pPr>
      <w:pStyle w:val="Footer"/>
    </w:pPr>
    <w:r>
      <w:rPr>
        <w:noProof/>
      </w:rPr>
      <w:drawing>
        <wp:anchor distT="0" distB="0" distL="114300" distR="114300" simplePos="0" relativeHeight="251604992" behindDoc="0" locked="0" layoutInCell="1" allowOverlap="1" wp14:anchorId="008E9AFF" wp14:editId="12662772">
          <wp:simplePos x="0" y="0"/>
          <wp:positionH relativeFrom="column">
            <wp:posOffset>5149289</wp:posOffset>
          </wp:positionH>
          <wp:positionV relativeFrom="paragraph">
            <wp:posOffset>-4179001</wp:posOffset>
          </wp:positionV>
          <wp:extent cx="1734820" cy="3113405"/>
          <wp:effectExtent l="0" t="0" r="0" b="0"/>
          <wp:wrapNone/>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H="1">
                    <a:off x="0" y="0"/>
                    <a:ext cx="1734820" cy="311340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4251" w14:textId="15E8A5ED" w:rsidR="00CB0A47" w:rsidRDefault="00CB0A47">
    <w:pPr>
      <w:pStyle w:val="Footer"/>
    </w:pPr>
    <w:r>
      <w:rPr>
        <w:noProof/>
      </w:rPr>
      <mc:AlternateContent>
        <mc:Choice Requires="wps">
          <w:drawing>
            <wp:anchor distT="0" distB="0" distL="114300" distR="114300" simplePos="0" relativeHeight="251666432" behindDoc="0" locked="0" layoutInCell="0" allowOverlap="1" wp14:anchorId="75154A7D" wp14:editId="696E5976">
              <wp:simplePos x="0" y="0"/>
              <wp:positionH relativeFrom="page">
                <wp:posOffset>0</wp:posOffset>
              </wp:positionH>
              <wp:positionV relativeFrom="page">
                <wp:posOffset>10228580</wp:posOffset>
              </wp:positionV>
              <wp:extent cx="7560310" cy="273050"/>
              <wp:effectExtent l="0" t="0" r="0" b="12700"/>
              <wp:wrapNone/>
              <wp:docPr id="6" name="MSIPCMb4bc4076b6b40223b351f7bf"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92F25E" w14:textId="0DD275F7" w:rsidR="00CB0A47" w:rsidRPr="00EB7918" w:rsidRDefault="00EB7918" w:rsidP="00EB7918">
                          <w:pPr>
                            <w:spacing w:before="0" w:after="0"/>
                            <w:jc w:val="center"/>
                            <w:rPr>
                              <w:rFonts w:ascii="Arial" w:hAnsi="Arial" w:cs="Arial"/>
                              <w:color w:val="000000"/>
                              <w:sz w:val="24"/>
                            </w:rPr>
                          </w:pPr>
                          <w:r w:rsidRPr="00EB7918">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154A7D" id="_x0000_t202" coordsize="21600,21600" o:spt="202" path="m,l,21600r21600,l21600,xe">
              <v:stroke joinstyle="miter"/>
              <v:path gradientshapeok="t" o:connecttype="rect"/>
            </v:shapetype>
            <v:shape id="MSIPCMb4bc4076b6b40223b351f7bf" o:spid="_x0000_s1031" type="#_x0000_t202" alt="{&quot;HashCode&quot;:376260202,&quot;Height&quot;:841.0,&quot;Width&quot;:595.0,&quot;Placement&quot;:&quot;Footer&quot;,&quot;Index&quot;:&quot;FirstPage&quot;,&quot;Section&quot;:1,&quot;Top&quot;:0.0,&quot;Left&quot;:0.0}" style="position:absolute;margin-left:0;margin-top:805.4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Djk0MkXAgAAKwQAAA4AAAAAAAAAAAAAAAAALgIAAGRycy9lMm9Eb2MueG1sUEsBAi0AFAAG&#10;AAgAAAAhAMQgy4TfAAAACwEAAA8AAAAAAAAAAAAAAAAAcQQAAGRycy9kb3ducmV2LnhtbFBLBQYA&#10;AAAABAAEAPMAAAB9BQAAAAA=&#10;" o:allowincell="f" filled="f" stroked="f" strokeweight=".5pt">
              <v:textbox inset=",0,,0">
                <w:txbxContent>
                  <w:p w14:paraId="7D92F25E" w14:textId="0DD275F7" w:rsidR="00CB0A47" w:rsidRPr="00EB7918" w:rsidRDefault="00EB7918" w:rsidP="00EB7918">
                    <w:pPr>
                      <w:spacing w:before="0" w:after="0"/>
                      <w:jc w:val="center"/>
                      <w:rPr>
                        <w:rFonts w:ascii="Arial" w:hAnsi="Arial" w:cs="Arial"/>
                        <w:color w:val="000000"/>
                        <w:sz w:val="24"/>
                      </w:rPr>
                    </w:pPr>
                    <w:r w:rsidRPr="00EB7918">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2DED" w14:textId="77777777" w:rsidR="00767993" w:rsidRDefault="00767993" w:rsidP="006B45F1">
      <w:r>
        <w:separator/>
      </w:r>
    </w:p>
    <w:p w14:paraId="5545C506" w14:textId="77777777" w:rsidR="00767993" w:rsidRDefault="00767993" w:rsidP="006B45F1"/>
    <w:p w14:paraId="70A44E8B" w14:textId="77777777" w:rsidR="00767993" w:rsidRDefault="00767993"/>
  </w:footnote>
  <w:footnote w:type="continuationSeparator" w:id="0">
    <w:p w14:paraId="6B50347B" w14:textId="77777777" w:rsidR="00767993" w:rsidRDefault="00767993" w:rsidP="006B45F1">
      <w:r>
        <w:continuationSeparator/>
      </w:r>
    </w:p>
    <w:p w14:paraId="7EFA41E0" w14:textId="77777777" w:rsidR="00767993" w:rsidRDefault="00767993" w:rsidP="006B45F1"/>
    <w:p w14:paraId="61BE1D7E" w14:textId="77777777" w:rsidR="00767993" w:rsidRDefault="00767993"/>
  </w:footnote>
  <w:footnote w:type="continuationNotice" w:id="1">
    <w:p w14:paraId="6A42F3E0" w14:textId="77777777" w:rsidR="00767993" w:rsidRDefault="00767993">
      <w:pPr>
        <w:spacing w:before="0" w:after="0"/>
      </w:pPr>
    </w:p>
    <w:p w14:paraId="2592C027" w14:textId="77777777" w:rsidR="00767993" w:rsidRDefault="00767993"/>
  </w:footnote>
  <w:footnote w:id="2">
    <w:p w14:paraId="4E9B5DD0" w14:textId="4C4ADADC" w:rsidR="009E5A50" w:rsidRDefault="009E5A50" w:rsidP="00FC4BE7">
      <w:r>
        <w:rPr>
          <w:rStyle w:val="FootnoteReference"/>
        </w:rPr>
        <w:footnoteRef/>
      </w:r>
      <w:r>
        <w:t xml:space="preserve"> </w:t>
      </w:r>
      <w:r w:rsidR="00B75FA7">
        <w:t xml:space="preserve">Businesses that backdate their </w:t>
      </w:r>
      <w:r w:rsidR="00C32CA8">
        <w:t>ABN registration or re-activate an ABN after 1 July 2022 will not be eligible.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426D" w14:textId="7D781339" w:rsidR="00B71016" w:rsidRPr="00644924" w:rsidRDefault="00E239E2" w:rsidP="006B45F1">
    <w:r>
      <w:rPr>
        <w:noProof/>
      </w:rPr>
      <mc:AlternateContent>
        <mc:Choice Requires="wps">
          <w:drawing>
            <wp:anchor distT="0" distB="0" distL="114300" distR="114300" simplePos="1" relativeHeight="251654144" behindDoc="0" locked="0" layoutInCell="0" allowOverlap="1" wp14:anchorId="3281C783" wp14:editId="77F58894">
              <wp:simplePos x="0" y="190500"/>
              <wp:positionH relativeFrom="page">
                <wp:posOffset>0</wp:posOffset>
              </wp:positionH>
              <wp:positionV relativeFrom="page">
                <wp:posOffset>190500</wp:posOffset>
              </wp:positionV>
              <wp:extent cx="7560310" cy="273050"/>
              <wp:effectExtent l="0" t="0" r="0" b="12700"/>
              <wp:wrapNone/>
              <wp:docPr id="8" name="MSIPCMb87d44e5b1ebfc1a8eb42bf0"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F1574B" w14:textId="2444EF71" w:rsidR="00E239E2" w:rsidRPr="00EB7918" w:rsidRDefault="00EB7918" w:rsidP="00EB7918">
                          <w:pPr>
                            <w:spacing w:before="0" w:after="0"/>
                            <w:jc w:val="center"/>
                            <w:rPr>
                              <w:rFonts w:ascii="Arial" w:hAnsi="Arial" w:cs="Arial"/>
                              <w:color w:val="000000"/>
                              <w:sz w:val="24"/>
                            </w:rPr>
                          </w:pPr>
                          <w:r w:rsidRPr="00EB7918">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281C783" id="_x0000_t202" coordsize="21600,21600" o:spt="202" path="m,l,21600r21600,l21600,xe">
              <v:stroke joinstyle="miter"/>
              <v:path gradientshapeok="t" o:connecttype="rect"/>
            </v:shapetype>
            <v:shape id="MSIPCMb87d44e5b1ebfc1a8eb42bf0" o:spid="_x0000_s1028" type="#_x0000_t202" alt="{&quot;HashCode&quot;:352122633,&quot;Height&quot;:841.0,&quot;Width&quot;:595.0,&quot;Placement&quot;:&quot;Header&quot;,&quot;Index&quot;:&quot;Primary&quot;,&quot;Section&quot;:1,&quot;Top&quot;:0.0,&quot;Left&quot;:0.0}" style="position:absolute;margin-left:0;margin-top:15pt;width:595.3pt;height:21.5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1CF1574B" w14:textId="2444EF71" w:rsidR="00E239E2" w:rsidRPr="00EB7918" w:rsidRDefault="00EB7918" w:rsidP="00EB7918">
                    <w:pPr>
                      <w:spacing w:before="0" w:after="0"/>
                      <w:jc w:val="center"/>
                      <w:rPr>
                        <w:rFonts w:ascii="Arial" w:hAnsi="Arial" w:cs="Arial"/>
                        <w:color w:val="000000"/>
                        <w:sz w:val="24"/>
                      </w:rPr>
                    </w:pPr>
                    <w:r w:rsidRPr="00EB7918">
                      <w:rPr>
                        <w:rFonts w:ascii="Arial" w:hAnsi="Arial" w:cs="Arial"/>
                        <w:color w:val="000000"/>
                        <w:sz w:val="24"/>
                      </w:rPr>
                      <w:t>OFFICIAL</w:t>
                    </w:r>
                  </w:p>
                </w:txbxContent>
              </v:textbox>
              <w10:wrap anchorx="page" anchory="page"/>
            </v:shape>
          </w:pict>
        </mc:Fallback>
      </mc:AlternateContent>
    </w:r>
    <w:r w:rsidR="00607F8D">
      <w:rPr>
        <w:noProof/>
      </w:rPr>
      <w:drawing>
        <wp:anchor distT="0" distB="0" distL="114300" distR="114300" simplePos="0" relativeHeight="251617280" behindDoc="1" locked="0" layoutInCell="1" allowOverlap="1" wp14:anchorId="36055DC7" wp14:editId="21857F0B">
          <wp:simplePos x="0" y="0"/>
          <wp:positionH relativeFrom="page">
            <wp:align>left</wp:align>
          </wp:positionH>
          <wp:positionV relativeFrom="page">
            <wp:align>top</wp:align>
          </wp:positionV>
          <wp:extent cx="10684798" cy="7559400"/>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10684798" cy="7559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8B9A" w14:textId="5D485D50" w:rsidR="0060555E" w:rsidRPr="00B26206" w:rsidRDefault="00CB0A47" w:rsidP="00B26206">
    <w:r>
      <w:rPr>
        <w:noProof/>
      </w:rPr>
      <mc:AlternateContent>
        <mc:Choice Requires="wps">
          <w:drawing>
            <wp:anchor distT="0" distB="0" distL="114300" distR="114300" simplePos="0" relativeHeight="251678720" behindDoc="0" locked="0" layoutInCell="0" allowOverlap="1" wp14:anchorId="25714704" wp14:editId="63402734">
              <wp:simplePos x="0" y="0"/>
              <wp:positionH relativeFrom="page">
                <wp:posOffset>0</wp:posOffset>
              </wp:positionH>
              <wp:positionV relativeFrom="page">
                <wp:posOffset>190500</wp:posOffset>
              </wp:positionV>
              <wp:extent cx="7560310" cy="273050"/>
              <wp:effectExtent l="0" t="0" r="0" b="12700"/>
              <wp:wrapNone/>
              <wp:docPr id="7" name="MSIPCMda87409396dcc98302976890"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72CCBA" w14:textId="05839E28" w:rsidR="00CB0A47" w:rsidRPr="00EB7918" w:rsidRDefault="00EB7918" w:rsidP="00EB7918">
                          <w:pPr>
                            <w:spacing w:before="0" w:after="0"/>
                            <w:jc w:val="center"/>
                            <w:rPr>
                              <w:rFonts w:ascii="Arial" w:hAnsi="Arial" w:cs="Arial"/>
                              <w:color w:val="000000"/>
                              <w:sz w:val="24"/>
                            </w:rPr>
                          </w:pPr>
                          <w:r w:rsidRPr="00EB7918">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5714704" id="_x0000_t202" coordsize="21600,21600" o:spt="202" path="m,l,21600r21600,l21600,xe">
              <v:stroke joinstyle="miter"/>
              <v:path gradientshapeok="t" o:connecttype="rect"/>
            </v:shapetype>
            <v:shape id="MSIPCMda87409396dcc98302976890" o:spid="_x0000_s1030" type="#_x0000_t202" alt="{&quot;HashCode&quot;:352122633,&quot;Height&quot;:841.0,&quot;Width&quot;:595.0,&quot;Placement&quot;:&quot;Header&quot;,&quot;Index&quot;:&quot;FirstPage&quot;,&quot;Section&quot;:1,&quot;Top&quot;:0.0,&quot;Left&quot;:0.0}" style="position:absolute;margin-left:0;margin-top:15pt;width:595.3pt;height:21.5pt;z-index:2516787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6172CCBA" w14:textId="05839E28" w:rsidR="00CB0A47" w:rsidRPr="00EB7918" w:rsidRDefault="00EB7918" w:rsidP="00EB7918">
                    <w:pPr>
                      <w:spacing w:before="0" w:after="0"/>
                      <w:jc w:val="center"/>
                      <w:rPr>
                        <w:rFonts w:ascii="Arial" w:hAnsi="Arial" w:cs="Arial"/>
                        <w:color w:val="000000"/>
                        <w:sz w:val="24"/>
                      </w:rPr>
                    </w:pPr>
                    <w:r w:rsidRPr="00EB7918">
                      <w:rPr>
                        <w:rFonts w:ascii="Arial" w:hAnsi="Arial" w:cs="Arial"/>
                        <w:color w:val="000000"/>
                        <w:sz w:val="24"/>
                      </w:rPr>
                      <w:t>OFFICIAL</w:t>
                    </w:r>
                  </w:p>
                </w:txbxContent>
              </v:textbox>
              <w10:wrap anchorx="page" anchory="page"/>
            </v:shape>
          </w:pict>
        </mc:Fallback>
      </mc:AlternateContent>
    </w:r>
    <w:r w:rsidR="0061072A">
      <w:rPr>
        <w:noProof/>
      </w:rPr>
      <w:drawing>
        <wp:anchor distT="0" distB="0" distL="114300" distR="114300" simplePos="0" relativeHeight="251629568" behindDoc="1" locked="1" layoutInCell="1" allowOverlap="1" wp14:anchorId="790D12BA" wp14:editId="2F2CEC34">
          <wp:simplePos x="0" y="0"/>
          <wp:positionH relativeFrom="page">
            <wp:align>left</wp:align>
          </wp:positionH>
          <wp:positionV relativeFrom="page">
            <wp:align>top</wp:align>
          </wp:positionV>
          <wp:extent cx="7552055" cy="10684510"/>
          <wp:effectExtent l="0" t="0" r="4445" b="0"/>
          <wp:wrapNone/>
          <wp:docPr id="2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2169" cy="1068479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F128" w14:textId="630E7C7A" w:rsidR="00700734" w:rsidRDefault="007007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1826" w14:textId="3DCA3DF8" w:rsidR="00F821D9" w:rsidRDefault="00E239E2" w:rsidP="006B45F1">
    <w:r>
      <w:rPr>
        <w:noProof/>
      </w:rPr>
      <mc:AlternateContent>
        <mc:Choice Requires="wps">
          <w:drawing>
            <wp:anchor distT="0" distB="0" distL="114300" distR="114300" simplePos="0" relativeHeight="251658245" behindDoc="0" locked="0" layoutInCell="0" allowOverlap="1" wp14:anchorId="761A5961" wp14:editId="7A7347B1">
              <wp:simplePos x="0" y="0"/>
              <wp:positionH relativeFrom="page">
                <wp:posOffset>0</wp:posOffset>
              </wp:positionH>
              <wp:positionV relativeFrom="page">
                <wp:posOffset>190500</wp:posOffset>
              </wp:positionV>
              <wp:extent cx="7560310" cy="273050"/>
              <wp:effectExtent l="0" t="0" r="0" b="12700"/>
              <wp:wrapNone/>
              <wp:docPr id="10" name="MSIPCMf0dd48c7b7a6c1a3496059bd"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4B47F2" w14:textId="3465EA93" w:rsidR="00E239E2" w:rsidRPr="00180594" w:rsidRDefault="00180594" w:rsidP="00180594">
                          <w:pPr>
                            <w:spacing w:before="0" w:after="0"/>
                            <w:jc w:val="center"/>
                            <w:rPr>
                              <w:rFonts w:ascii="Arial" w:hAnsi="Arial" w:cs="Arial"/>
                              <w:color w:val="000000"/>
                              <w:sz w:val="24"/>
                            </w:rPr>
                          </w:pPr>
                          <w:r w:rsidRPr="00180594">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61A5961" id="_x0000_t202" coordsize="21600,21600" o:spt="202" path="m,l,21600r21600,l21600,xe">
              <v:stroke joinstyle="miter"/>
              <v:path gradientshapeok="t" o:connecttype="rect"/>
            </v:shapetype>
            <v:shape id="MSIPCMf0dd48c7b7a6c1a3496059bd" o:spid="_x0000_s1032" type="#_x0000_t202" alt="{&quot;HashCode&quot;:352122633,&quot;Height&quot;:841.0,&quot;Width&quot;:595.0,&quot;Placement&quot;:&quot;Header&quot;,&quot;Index&quot;:&quot;Primary&quot;,&quot;Section&quot;:2,&quot;Top&quot;:0.0,&quot;Left&quot;:0.0}" style="position:absolute;margin-left:0;margin-top:15pt;width:595.3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K9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YTDvQi9kfB1crFYpCVVlWdiYreWxdMQsIvvc&#10;vTBnz/AHJO4BBnGx4h0LfW6P9uoQQDaJoohvj+YZdlRkYu78eqLk3/6nrMsbX/4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CO3kr0XAgAAKwQAAA4AAAAAAAAAAAAAAAAALgIAAGRycy9lMm9Eb2MueG1sUEsBAi0AFAAGAAgA&#10;AAAhAEsiCebcAAAABwEAAA8AAAAAAAAAAAAAAAAAcQQAAGRycy9kb3ducmV2LnhtbFBLBQYAAAAA&#10;BAAEAPMAAAB6BQAAAAA=&#10;" o:allowincell="f" filled="f" stroked="f" strokeweight=".5pt">
              <v:textbox inset=",0,,0">
                <w:txbxContent>
                  <w:p w14:paraId="7D4B47F2" w14:textId="3465EA93" w:rsidR="00E239E2" w:rsidRPr="00180594" w:rsidRDefault="00180594" w:rsidP="00180594">
                    <w:pPr>
                      <w:spacing w:before="0" w:after="0"/>
                      <w:jc w:val="center"/>
                      <w:rPr>
                        <w:rFonts w:ascii="Arial" w:hAnsi="Arial" w:cs="Arial"/>
                        <w:color w:val="000000"/>
                        <w:sz w:val="24"/>
                      </w:rPr>
                    </w:pPr>
                    <w:r w:rsidRPr="00180594">
                      <w:rPr>
                        <w:rFonts w:ascii="Arial" w:hAnsi="Arial" w:cs="Arial"/>
                        <w:color w:val="000000"/>
                        <w:sz w:val="24"/>
                      </w:rPr>
                      <w:t>OFFICIAL</w:t>
                    </w:r>
                  </w:p>
                </w:txbxContent>
              </v:textbox>
              <w10:wrap anchorx="page" anchory="page"/>
            </v:shape>
          </w:pict>
        </mc:Fallback>
      </mc:AlternateContent>
    </w:r>
    <w:r w:rsidR="009011D9">
      <w:rPr>
        <w:noProof/>
      </w:rPr>
      <w:drawing>
        <wp:anchor distT="0" distB="0" distL="114300" distR="114300" simplePos="0" relativeHeight="251658244" behindDoc="1" locked="0" layoutInCell="1" allowOverlap="1" wp14:anchorId="1D137235" wp14:editId="3B85C421">
          <wp:simplePos x="0" y="0"/>
          <wp:positionH relativeFrom="page">
            <wp:align>center</wp:align>
          </wp:positionH>
          <wp:positionV relativeFrom="page">
            <wp:align>top</wp:align>
          </wp:positionV>
          <wp:extent cx="7559805" cy="10695598"/>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9805" cy="10695598"/>
                  </a:xfrm>
                  <a:prstGeom prst="rect">
                    <a:avLst/>
                  </a:prstGeom>
                </pic:spPr>
              </pic:pic>
            </a:graphicData>
          </a:graphic>
          <wp14:sizeRelH relativeFrom="margin">
            <wp14:pctWidth>0</wp14:pctWidth>
          </wp14:sizeRelH>
          <wp14:sizeRelV relativeFrom="margin">
            <wp14:pctHeight>0</wp14:pctHeight>
          </wp14:sizeRelV>
        </wp:anchor>
      </w:drawing>
    </w:r>
  </w:p>
  <w:p w14:paraId="0F706B0F" w14:textId="5535147C" w:rsidR="00F821D9" w:rsidRDefault="00F821D9" w:rsidP="006B45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ECC9" w14:textId="11A787B9" w:rsidR="00606B6E" w:rsidRDefault="00E239E2" w:rsidP="006B45F1">
    <w:r>
      <w:rPr>
        <w:noProof/>
      </w:rPr>
      <mc:AlternateContent>
        <mc:Choice Requires="wps">
          <w:drawing>
            <wp:anchor distT="0" distB="0" distL="114300" distR="114300" simplePos="0" relativeHeight="251658246" behindDoc="0" locked="0" layoutInCell="0" allowOverlap="1" wp14:anchorId="42490CC2" wp14:editId="375E1062">
              <wp:simplePos x="0" y="0"/>
              <wp:positionH relativeFrom="page">
                <wp:posOffset>0</wp:posOffset>
              </wp:positionH>
              <wp:positionV relativeFrom="page">
                <wp:posOffset>190500</wp:posOffset>
              </wp:positionV>
              <wp:extent cx="7560310" cy="273050"/>
              <wp:effectExtent l="0" t="0" r="0" b="12700"/>
              <wp:wrapNone/>
              <wp:docPr id="11" name="MSIPCMc98e4e80959ee3214ee4aec7" descr="{&quot;HashCode&quot;:352122633,&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6C2E70" w14:textId="365C5837" w:rsidR="00E239E2" w:rsidRPr="00180594" w:rsidRDefault="00180594" w:rsidP="00180594">
                          <w:pPr>
                            <w:spacing w:before="0" w:after="0"/>
                            <w:jc w:val="center"/>
                            <w:rPr>
                              <w:rFonts w:ascii="Arial" w:hAnsi="Arial" w:cs="Arial"/>
                              <w:color w:val="000000"/>
                              <w:sz w:val="24"/>
                            </w:rPr>
                          </w:pPr>
                          <w:r w:rsidRPr="00180594">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2490CC2" id="_x0000_t202" coordsize="21600,21600" o:spt="202" path="m,l,21600r21600,l21600,xe">
              <v:stroke joinstyle="miter"/>
              <v:path gradientshapeok="t" o:connecttype="rect"/>
            </v:shapetype>
            <v:shape id="MSIPCMc98e4e80959ee3214ee4aec7" o:spid="_x0000_s1033" type="#_x0000_t202" alt="{&quot;HashCode&quot;:352122633,&quot;Height&quot;:841.0,&quot;Width&quot;:595.0,&quot;Placement&quot;:&quot;Header&quot;,&quot;Index&quot;:&quot;FirstPage&quot;,&quot;Section&quot;:2,&quot;Top&quot;:0.0,&quot;Left&quot;:0.0}" style="position:absolute;margin-left:0;margin-top:15pt;width:595.3pt;height:21.5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M1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s+nYwxxjE2up/ks4Zpdblvnw1cBDYlGSR3SktBi&#10;x40P2BFTh5TYzMBaaZ2o0Ya0JZ1PseRvEbyhDV68zBqt0O06oqqSzoY9dlCdcD0HPfPe8rXCGTbM&#10;hyfmkGocG+UbHvGQGrAXnC1KanA//+aP+cgARilpUTol9T8OzAlK9DeD3HweX11FraUfNNxb727w&#10;mkNzB6jKMT4Qy5MZc4MeTOmgeUF1r2I3DDHDsWdJw2DehV7I+Dq4WK1SEqrKsrAxW8tj6YhZRPa5&#10;e2HOnuEPSNwDDOJixTsW+twe7dUhgFSJoohvj+YZdlRkYu78eqLk3/6nrMsbX/4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NM4EzUXAgAAKwQAAA4AAAAAAAAAAAAAAAAALgIAAGRycy9lMm9Eb2MueG1sUEsBAi0AFAAGAAgA&#10;AAAhAEsiCebcAAAABwEAAA8AAAAAAAAAAAAAAAAAcQQAAGRycy9kb3ducmV2LnhtbFBLBQYAAAAA&#10;BAAEAPMAAAB6BQAAAAA=&#10;" o:allowincell="f" filled="f" stroked="f" strokeweight=".5pt">
              <v:textbox inset=",0,,0">
                <w:txbxContent>
                  <w:p w14:paraId="3A6C2E70" w14:textId="365C5837" w:rsidR="00E239E2" w:rsidRPr="00180594" w:rsidRDefault="00180594" w:rsidP="00180594">
                    <w:pPr>
                      <w:spacing w:before="0" w:after="0"/>
                      <w:jc w:val="center"/>
                      <w:rPr>
                        <w:rFonts w:ascii="Arial" w:hAnsi="Arial" w:cs="Arial"/>
                        <w:color w:val="000000"/>
                        <w:sz w:val="24"/>
                      </w:rPr>
                    </w:pPr>
                    <w:r w:rsidRPr="00180594">
                      <w:rPr>
                        <w:rFonts w:ascii="Arial" w:hAnsi="Arial" w:cs="Arial"/>
                        <w:color w:val="000000"/>
                        <w:sz w:val="24"/>
                      </w:rPr>
                      <w:t>OFFICIAL</w:t>
                    </w:r>
                  </w:p>
                </w:txbxContent>
              </v:textbox>
              <w10:wrap anchorx="page" anchory="page"/>
            </v:shape>
          </w:pict>
        </mc:Fallback>
      </mc:AlternateContent>
    </w:r>
    <w:r w:rsidR="009011D9">
      <w:rPr>
        <w:noProof/>
      </w:rPr>
      <w:drawing>
        <wp:anchor distT="0" distB="0" distL="114300" distR="114300" simplePos="0" relativeHeight="251658243" behindDoc="1" locked="0" layoutInCell="1" allowOverlap="1" wp14:anchorId="1DDD30C2" wp14:editId="49A44217">
          <wp:simplePos x="0" y="0"/>
          <wp:positionH relativeFrom="page">
            <wp:align>center</wp:align>
          </wp:positionH>
          <wp:positionV relativeFrom="page">
            <wp:align>top</wp:align>
          </wp:positionV>
          <wp:extent cx="7559805" cy="10695598"/>
          <wp:effectExtent l="0" t="0" r="0" b="0"/>
          <wp:wrapNone/>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9805" cy="10695598"/>
                  </a:xfrm>
                  <a:prstGeom prst="rect">
                    <a:avLst/>
                  </a:prstGeom>
                </pic:spPr>
              </pic:pic>
            </a:graphicData>
          </a:graphic>
          <wp14:sizeRelH relativeFrom="margin">
            <wp14:pctWidth>0</wp14:pctWidth>
          </wp14:sizeRelH>
          <wp14:sizeRelV relativeFrom="margin">
            <wp14:pctHeight>0</wp14:pctHeight>
          </wp14:sizeRelV>
        </wp:anchor>
      </w:drawing>
    </w:r>
  </w:p>
  <w:p w14:paraId="0A49AA5F" w14:textId="77777777" w:rsidR="00606B6E" w:rsidRDefault="00606B6E" w:rsidP="006B4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054E"/>
    <w:multiLevelType w:val="hybridMultilevel"/>
    <w:tmpl w:val="75105D78"/>
    <w:lvl w:ilvl="0" w:tplc="0C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F979F7"/>
    <w:multiLevelType w:val="hybridMultilevel"/>
    <w:tmpl w:val="906CE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441ADF"/>
    <w:multiLevelType w:val="hybridMultilevel"/>
    <w:tmpl w:val="11A074BE"/>
    <w:lvl w:ilvl="0" w:tplc="FFFFFFFF">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C0576B2"/>
    <w:multiLevelType w:val="hybridMultilevel"/>
    <w:tmpl w:val="5B483BE4"/>
    <w:lvl w:ilvl="0" w:tplc="0C090017">
      <w:start w:val="1"/>
      <w:numFmt w:val="lowerLetter"/>
      <w:pStyle w:val="dotpoint"/>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9C0ABF"/>
    <w:multiLevelType w:val="hybridMultilevel"/>
    <w:tmpl w:val="9E6AEB66"/>
    <w:lvl w:ilvl="0" w:tplc="66FAF84E">
      <w:start w:val="1"/>
      <w:numFmt w:val="bullet"/>
      <w:pStyle w:val="List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774EA4"/>
    <w:multiLevelType w:val="hybridMultilevel"/>
    <w:tmpl w:val="C51200FA"/>
    <w:lvl w:ilvl="0" w:tplc="E11EF9EA">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0123AA"/>
    <w:multiLevelType w:val="hybridMultilevel"/>
    <w:tmpl w:val="EBB054F6"/>
    <w:lvl w:ilvl="0" w:tplc="D6B0C102">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7" w15:restartNumberingAfterBreak="0">
    <w:nsid w:val="505D54B9"/>
    <w:multiLevelType w:val="hybridMultilevel"/>
    <w:tmpl w:val="E1201C70"/>
    <w:lvl w:ilvl="0" w:tplc="FFFFFFFF">
      <w:start w:val="1"/>
      <w:numFmt w:val="lowerLetter"/>
      <w:lvlText w:val="%1."/>
      <w:lvlJc w:val="left"/>
      <w:pPr>
        <w:ind w:left="1505" w:hanging="360"/>
      </w:pPr>
    </w:lvl>
    <w:lvl w:ilvl="1" w:tplc="FFFFFFFF" w:tentative="1">
      <w:start w:val="1"/>
      <w:numFmt w:val="lowerLetter"/>
      <w:lvlText w:val="%2."/>
      <w:lvlJc w:val="left"/>
      <w:pPr>
        <w:ind w:left="2225" w:hanging="360"/>
      </w:pPr>
    </w:lvl>
    <w:lvl w:ilvl="2" w:tplc="FFFFFFFF" w:tentative="1">
      <w:start w:val="1"/>
      <w:numFmt w:val="lowerRoman"/>
      <w:lvlText w:val="%3."/>
      <w:lvlJc w:val="right"/>
      <w:pPr>
        <w:ind w:left="2945" w:hanging="180"/>
      </w:pPr>
    </w:lvl>
    <w:lvl w:ilvl="3" w:tplc="FFFFFFFF" w:tentative="1">
      <w:start w:val="1"/>
      <w:numFmt w:val="decimal"/>
      <w:lvlText w:val="%4."/>
      <w:lvlJc w:val="left"/>
      <w:pPr>
        <w:ind w:left="3665" w:hanging="360"/>
      </w:pPr>
    </w:lvl>
    <w:lvl w:ilvl="4" w:tplc="FFFFFFFF" w:tentative="1">
      <w:start w:val="1"/>
      <w:numFmt w:val="lowerLetter"/>
      <w:lvlText w:val="%5."/>
      <w:lvlJc w:val="left"/>
      <w:pPr>
        <w:ind w:left="4385" w:hanging="360"/>
      </w:pPr>
    </w:lvl>
    <w:lvl w:ilvl="5" w:tplc="FFFFFFFF" w:tentative="1">
      <w:start w:val="1"/>
      <w:numFmt w:val="lowerRoman"/>
      <w:lvlText w:val="%6."/>
      <w:lvlJc w:val="right"/>
      <w:pPr>
        <w:ind w:left="5105" w:hanging="180"/>
      </w:pPr>
    </w:lvl>
    <w:lvl w:ilvl="6" w:tplc="FFFFFFFF" w:tentative="1">
      <w:start w:val="1"/>
      <w:numFmt w:val="decimal"/>
      <w:lvlText w:val="%7."/>
      <w:lvlJc w:val="left"/>
      <w:pPr>
        <w:ind w:left="5825" w:hanging="360"/>
      </w:pPr>
    </w:lvl>
    <w:lvl w:ilvl="7" w:tplc="FFFFFFFF" w:tentative="1">
      <w:start w:val="1"/>
      <w:numFmt w:val="lowerLetter"/>
      <w:lvlText w:val="%8."/>
      <w:lvlJc w:val="left"/>
      <w:pPr>
        <w:ind w:left="6545" w:hanging="360"/>
      </w:pPr>
    </w:lvl>
    <w:lvl w:ilvl="8" w:tplc="FFFFFFFF" w:tentative="1">
      <w:start w:val="1"/>
      <w:numFmt w:val="lowerRoman"/>
      <w:lvlText w:val="%9."/>
      <w:lvlJc w:val="right"/>
      <w:pPr>
        <w:ind w:left="7265" w:hanging="180"/>
      </w:pPr>
    </w:lvl>
  </w:abstractNum>
  <w:abstractNum w:abstractNumId="8" w15:restartNumberingAfterBreak="0">
    <w:nsid w:val="55DB68FC"/>
    <w:multiLevelType w:val="hybridMultilevel"/>
    <w:tmpl w:val="66C4FEDE"/>
    <w:lvl w:ilvl="0" w:tplc="16681832">
      <w:start w:val="1"/>
      <w:numFmt w:val="bullet"/>
      <w:pStyle w:val="ListBulletLast"/>
      <w:lvlText w:val=""/>
      <w:lvlJc w:val="left"/>
      <w:pPr>
        <w:ind w:left="4644" w:hanging="360"/>
      </w:pPr>
      <w:rPr>
        <w:rFonts w:ascii="Symbol" w:hAnsi="Symbol" w:hint="default"/>
        <w:color w:val="626464"/>
        <w:sz w:val="18"/>
      </w:rPr>
    </w:lvl>
    <w:lvl w:ilvl="1" w:tplc="13D088DA">
      <w:start w:val="1"/>
      <w:numFmt w:val="bullet"/>
      <w:lvlText w:val=""/>
      <w:lvlJc w:val="left"/>
      <w:pPr>
        <w:tabs>
          <w:tab w:val="num" w:pos="5364"/>
        </w:tabs>
        <w:ind w:left="5364" w:hanging="360"/>
      </w:pPr>
      <w:rPr>
        <w:rFonts w:ascii="Symbol" w:hAnsi="Symbol" w:hint="default"/>
        <w:sz w:val="19"/>
      </w:rPr>
    </w:lvl>
    <w:lvl w:ilvl="2" w:tplc="00050409" w:tentative="1">
      <w:start w:val="1"/>
      <w:numFmt w:val="bullet"/>
      <w:lvlText w:val=""/>
      <w:lvlJc w:val="left"/>
      <w:pPr>
        <w:tabs>
          <w:tab w:val="num" w:pos="6084"/>
        </w:tabs>
        <w:ind w:left="6084" w:hanging="360"/>
      </w:pPr>
      <w:rPr>
        <w:rFonts w:ascii="Wingdings" w:hAnsi="Wingdings" w:hint="default"/>
      </w:rPr>
    </w:lvl>
    <w:lvl w:ilvl="3" w:tplc="00010409" w:tentative="1">
      <w:start w:val="1"/>
      <w:numFmt w:val="bullet"/>
      <w:lvlText w:val=""/>
      <w:lvlJc w:val="left"/>
      <w:pPr>
        <w:tabs>
          <w:tab w:val="num" w:pos="6804"/>
        </w:tabs>
        <w:ind w:left="6804" w:hanging="360"/>
      </w:pPr>
      <w:rPr>
        <w:rFonts w:ascii="Symbol" w:hAnsi="Symbol" w:hint="default"/>
      </w:rPr>
    </w:lvl>
    <w:lvl w:ilvl="4" w:tplc="00030409" w:tentative="1">
      <w:start w:val="1"/>
      <w:numFmt w:val="bullet"/>
      <w:lvlText w:val="o"/>
      <w:lvlJc w:val="left"/>
      <w:pPr>
        <w:tabs>
          <w:tab w:val="num" w:pos="7524"/>
        </w:tabs>
        <w:ind w:left="7524" w:hanging="360"/>
      </w:pPr>
      <w:rPr>
        <w:rFonts w:ascii="Courier New" w:hAnsi="Courier New" w:hint="default"/>
      </w:rPr>
    </w:lvl>
    <w:lvl w:ilvl="5" w:tplc="00050409" w:tentative="1">
      <w:start w:val="1"/>
      <w:numFmt w:val="bullet"/>
      <w:lvlText w:val=""/>
      <w:lvlJc w:val="left"/>
      <w:pPr>
        <w:tabs>
          <w:tab w:val="num" w:pos="8244"/>
        </w:tabs>
        <w:ind w:left="8244" w:hanging="360"/>
      </w:pPr>
      <w:rPr>
        <w:rFonts w:ascii="Wingdings" w:hAnsi="Wingdings" w:hint="default"/>
      </w:rPr>
    </w:lvl>
    <w:lvl w:ilvl="6" w:tplc="00010409" w:tentative="1">
      <w:start w:val="1"/>
      <w:numFmt w:val="bullet"/>
      <w:lvlText w:val=""/>
      <w:lvlJc w:val="left"/>
      <w:pPr>
        <w:tabs>
          <w:tab w:val="num" w:pos="8964"/>
        </w:tabs>
        <w:ind w:left="8964" w:hanging="360"/>
      </w:pPr>
      <w:rPr>
        <w:rFonts w:ascii="Symbol" w:hAnsi="Symbol" w:hint="default"/>
      </w:rPr>
    </w:lvl>
    <w:lvl w:ilvl="7" w:tplc="00030409" w:tentative="1">
      <w:start w:val="1"/>
      <w:numFmt w:val="bullet"/>
      <w:lvlText w:val="o"/>
      <w:lvlJc w:val="left"/>
      <w:pPr>
        <w:tabs>
          <w:tab w:val="num" w:pos="9684"/>
        </w:tabs>
        <w:ind w:left="9684" w:hanging="360"/>
      </w:pPr>
      <w:rPr>
        <w:rFonts w:ascii="Courier New" w:hAnsi="Courier New" w:hint="default"/>
      </w:rPr>
    </w:lvl>
    <w:lvl w:ilvl="8" w:tplc="00050409" w:tentative="1">
      <w:start w:val="1"/>
      <w:numFmt w:val="bullet"/>
      <w:lvlText w:val=""/>
      <w:lvlJc w:val="left"/>
      <w:pPr>
        <w:tabs>
          <w:tab w:val="num" w:pos="10404"/>
        </w:tabs>
        <w:ind w:left="10404" w:hanging="360"/>
      </w:pPr>
      <w:rPr>
        <w:rFonts w:ascii="Wingdings" w:hAnsi="Wingdings" w:hint="default"/>
      </w:rPr>
    </w:lvl>
  </w:abstractNum>
  <w:abstractNum w:abstractNumId="9" w15:restartNumberingAfterBreak="0">
    <w:nsid w:val="57CC7A57"/>
    <w:multiLevelType w:val="multilevel"/>
    <w:tmpl w:val="4DE25E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99522F"/>
    <w:multiLevelType w:val="hybridMultilevel"/>
    <w:tmpl w:val="4630F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0542F2"/>
    <w:multiLevelType w:val="multilevel"/>
    <w:tmpl w:val="0218A1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44525586">
    <w:abstractNumId w:val="8"/>
  </w:num>
  <w:num w:numId="2" w16cid:durableId="802818891">
    <w:abstractNumId w:val="11"/>
  </w:num>
  <w:num w:numId="3" w16cid:durableId="1239171097">
    <w:abstractNumId w:val="6"/>
  </w:num>
  <w:num w:numId="4" w16cid:durableId="314918169">
    <w:abstractNumId w:val="4"/>
  </w:num>
  <w:num w:numId="5" w16cid:durableId="243995646">
    <w:abstractNumId w:val="5"/>
  </w:num>
  <w:num w:numId="6" w16cid:durableId="1905675185">
    <w:abstractNumId w:val="2"/>
  </w:num>
  <w:num w:numId="7" w16cid:durableId="397633500">
    <w:abstractNumId w:val="0"/>
  </w:num>
  <w:num w:numId="8" w16cid:durableId="1983383984">
    <w:abstractNumId w:val="3"/>
  </w:num>
  <w:num w:numId="9" w16cid:durableId="1323578967">
    <w:abstractNumId w:val="9"/>
  </w:num>
  <w:num w:numId="10" w16cid:durableId="1563254271">
    <w:abstractNumId w:val="1"/>
  </w:num>
  <w:num w:numId="11" w16cid:durableId="642778980">
    <w:abstractNumId w:val="10"/>
  </w:num>
  <w:num w:numId="12" w16cid:durableId="35763192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F0"/>
    <w:rsid w:val="000004CB"/>
    <w:rsid w:val="00002CF6"/>
    <w:rsid w:val="0000317C"/>
    <w:rsid w:val="000073C0"/>
    <w:rsid w:val="000075CC"/>
    <w:rsid w:val="0000762E"/>
    <w:rsid w:val="00007D54"/>
    <w:rsid w:val="00012BFC"/>
    <w:rsid w:val="00012F55"/>
    <w:rsid w:val="0001431E"/>
    <w:rsid w:val="00014927"/>
    <w:rsid w:val="0001548D"/>
    <w:rsid w:val="000159EA"/>
    <w:rsid w:val="00017814"/>
    <w:rsid w:val="00017E95"/>
    <w:rsid w:val="00021042"/>
    <w:rsid w:val="000236E3"/>
    <w:rsid w:val="00027AF5"/>
    <w:rsid w:val="00030E8C"/>
    <w:rsid w:val="00033741"/>
    <w:rsid w:val="00033781"/>
    <w:rsid w:val="00034053"/>
    <w:rsid w:val="00035251"/>
    <w:rsid w:val="00037BEE"/>
    <w:rsid w:val="00040F1F"/>
    <w:rsid w:val="000423A2"/>
    <w:rsid w:val="00042879"/>
    <w:rsid w:val="00043205"/>
    <w:rsid w:val="0004322F"/>
    <w:rsid w:val="00043BBD"/>
    <w:rsid w:val="00044DC5"/>
    <w:rsid w:val="00047547"/>
    <w:rsid w:val="0004799B"/>
    <w:rsid w:val="0005178B"/>
    <w:rsid w:val="00051FC9"/>
    <w:rsid w:val="00054AD7"/>
    <w:rsid w:val="00060302"/>
    <w:rsid w:val="00061CD9"/>
    <w:rsid w:val="00062531"/>
    <w:rsid w:val="000636CE"/>
    <w:rsid w:val="000640AD"/>
    <w:rsid w:val="000664EC"/>
    <w:rsid w:val="00070516"/>
    <w:rsid w:val="00071816"/>
    <w:rsid w:val="0007317E"/>
    <w:rsid w:val="0007378F"/>
    <w:rsid w:val="000809CD"/>
    <w:rsid w:val="00083555"/>
    <w:rsid w:val="00083F3A"/>
    <w:rsid w:val="000849BD"/>
    <w:rsid w:val="00086E84"/>
    <w:rsid w:val="00090376"/>
    <w:rsid w:val="000904AD"/>
    <w:rsid w:val="00092B62"/>
    <w:rsid w:val="000934F5"/>
    <w:rsid w:val="000967C3"/>
    <w:rsid w:val="00096B5F"/>
    <w:rsid w:val="000A08DC"/>
    <w:rsid w:val="000A0BB1"/>
    <w:rsid w:val="000A0FAC"/>
    <w:rsid w:val="000A3661"/>
    <w:rsid w:val="000A457B"/>
    <w:rsid w:val="000A564D"/>
    <w:rsid w:val="000A5E62"/>
    <w:rsid w:val="000B0BAF"/>
    <w:rsid w:val="000B1E37"/>
    <w:rsid w:val="000B2BD7"/>
    <w:rsid w:val="000B48F4"/>
    <w:rsid w:val="000B513D"/>
    <w:rsid w:val="000B55F0"/>
    <w:rsid w:val="000B5CE2"/>
    <w:rsid w:val="000B7105"/>
    <w:rsid w:val="000B734B"/>
    <w:rsid w:val="000B7E93"/>
    <w:rsid w:val="000C1EA6"/>
    <w:rsid w:val="000C21B2"/>
    <w:rsid w:val="000C345E"/>
    <w:rsid w:val="000C4C72"/>
    <w:rsid w:val="000C514F"/>
    <w:rsid w:val="000C5B57"/>
    <w:rsid w:val="000D0AFB"/>
    <w:rsid w:val="000D45DB"/>
    <w:rsid w:val="000D4AA5"/>
    <w:rsid w:val="000D4F08"/>
    <w:rsid w:val="000D577E"/>
    <w:rsid w:val="000D79A3"/>
    <w:rsid w:val="000D7F2A"/>
    <w:rsid w:val="000E39A7"/>
    <w:rsid w:val="000E5D24"/>
    <w:rsid w:val="000F0296"/>
    <w:rsid w:val="000F07B2"/>
    <w:rsid w:val="000F10AD"/>
    <w:rsid w:val="000F3297"/>
    <w:rsid w:val="000F6681"/>
    <w:rsid w:val="000F6F3E"/>
    <w:rsid w:val="000F704A"/>
    <w:rsid w:val="000F7643"/>
    <w:rsid w:val="000F7C8D"/>
    <w:rsid w:val="00100F12"/>
    <w:rsid w:val="00102D1B"/>
    <w:rsid w:val="00102E32"/>
    <w:rsid w:val="00102E4A"/>
    <w:rsid w:val="00102F0C"/>
    <w:rsid w:val="00103FC4"/>
    <w:rsid w:val="001064B5"/>
    <w:rsid w:val="00106B24"/>
    <w:rsid w:val="0011006C"/>
    <w:rsid w:val="001132CC"/>
    <w:rsid w:val="0011611B"/>
    <w:rsid w:val="001162B9"/>
    <w:rsid w:val="001179A3"/>
    <w:rsid w:val="001200BA"/>
    <w:rsid w:val="001229D5"/>
    <w:rsid w:val="001266CB"/>
    <w:rsid w:val="00126E37"/>
    <w:rsid w:val="001273F2"/>
    <w:rsid w:val="00130786"/>
    <w:rsid w:val="00130B14"/>
    <w:rsid w:val="00132A9B"/>
    <w:rsid w:val="00133F06"/>
    <w:rsid w:val="001340B8"/>
    <w:rsid w:val="00135B6F"/>
    <w:rsid w:val="00135BF6"/>
    <w:rsid w:val="00136CC8"/>
    <w:rsid w:val="001378F7"/>
    <w:rsid w:val="00140C5E"/>
    <w:rsid w:val="001410ED"/>
    <w:rsid w:val="001417FE"/>
    <w:rsid w:val="00141963"/>
    <w:rsid w:val="00141D6D"/>
    <w:rsid w:val="00142BBE"/>
    <w:rsid w:val="00143047"/>
    <w:rsid w:val="001441F4"/>
    <w:rsid w:val="0014532E"/>
    <w:rsid w:val="001471C8"/>
    <w:rsid w:val="00147F6F"/>
    <w:rsid w:val="001504AE"/>
    <w:rsid w:val="00152EB9"/>
    <w:rsid w:val="001575E7"/>
    <w:rsid w:val="00157A29"/>
    <w:rsid w:val="00157B58"/>
    <w:rsid w:val="00162799"/>
    <w:rsid w:val="00162CEF"/>
    <w:rsid w:val="001632B8"/>
    <w:rsid w:val="00164024"/>
    <w:rsid w:val="00164461"/>
    <w:rsid w:val="00164987"/>
    <w:rsid w:val="00166869"/>
    <w:rsid w:val="00166B27"/>
    <w:rsid w:val="00167CD4"/>
    <w:rsid w:val="0017057E"/>
    <w:rsid w:val="00170A68"/>
    <w:rsid w:val="001758B4"/>
    <w:rsid w:val="001774D2"/>
    <w:rsid w:val="00180594"/>
    <w:rsid w:val="001810B7"/>
    <w:rsid w:val="00181199"/>
    <w:rsid w:val="0018430E"/>
    <w:rsid w:val="001858C2"/>
    <w:rsid w:val="00185BE1"/>
    <w:rsid w:val="00186B61"/>
    <w:rsid w:val="001874E1"/>
    <w:rsid w:val="00187CBA"/>
    <w:rsid w:val="00190A16"/>
    <w:rsid w:val="00195613"/>
    <w:rsid w:val="001969C0"/>
    <w:rsid w:val="00196B78"/>
    <w:rsid w:val="001A02ED"/>
    <w:rsid w:val="001A3498"/>
    <w:rsid w:val="001A3F6E"/>
    <w:rsid w:val="001A4447"/>
    <w:rsid w:val="001A47B1"/>
    <w:rsid w:val="001A653B"/>
    <w:rsid w:val="001A717A"/>
    <w:rsid w:val="001A7A99"/>
    <w:rsid w:val="001A7C7D"/>
    <w:rsid w:val="001B0892"/>
    <w:rsid w:val="001B2596"/>
    <w:rsid w:val="001B4698"/>
    <w:rsid w:val="001B683B"/>
    <w:rsid w:val="001B6D1B"/>
    <w:rsid w:val="001B710C"/>
    <w:rsid w:val="001B7798"/>
    <w:rsid w:val="001C08A3"/>
    <w:rsid w:val="001C0FF5"/>
    <w:rsid w:val="001C2B3A"/>
    <w:rsid w:val="001C38C0"/>
    <w:rsid w:val="001C529B"/>
    <w:rsid w:val="001C5901"/>
    <w:rsid w:val="001D01C3"/>
    <w:rsid w:val="001D0420"/>
    <w:rsid w:val="001D4FEF"/>
    <w:rsid w:val="001D55F0"/>
    <w:rsid w:val="001D64B6"/>
    <w:rsid w:val="001E21B0"/>
    <w:rsid w:val="001E37C5"/>
    <w:rsid w:val="001E69C2"/>
    <w:rsid w:val="001E7EA7"/>
    <w:rsid w:val="001F0A49"/>
    <w:rsid w:val="001F1B5A"/>
    <w:rsid w:val="001F3D55"/>
    <w:rsid w:val="001F449E"/>
    <w:rsid w:val="001F76F6"/>
    <w:rsid w:val="001F7D09"/>
    <w:rsid w:val="001F7FE5"/>
    <w:rsid w:val="002028AE"/>
    <w:rsid w:val="00204E1E"/>
    <w:rsid w:val="00206CF1"/>
    <w:rsid w:val="00210E99"/>
    <w:rsid w:val="0021229B"/>
    <w:rsid w:val="0021262D"/>
    <w:rsid w:val="002131E7"/>
    <w:rsid w:val="00213285"/>
    <w:rsid w:val="00213B02"/>
    <w:rsid w:val="00214165"/>
    <w:rsid w:val="00215686"/>
    <w:rsid w:val="00216221"/>
    <w:rsid w:val="00216498"/>
    <w:rsid w:val="0022061D"/>
    <w:rsid w:val="00220988"/>
    <w:rsid w:val="00222583"/>
    <w:rsid w:val="00223ADA"/>
    <w:rsid w:val="00226E4E"/>
    <w:rsid w:val="00227331"/>
    <w:rsid w:val="0023724A"/>
    <w:rsid w:val="00240644"/>
    <w:rsid w:val="002449A4"/>
    <w:rsid w:val="00244DC6"/>
    <w:rsid w:val="00245C69"/>
    <w:rsid w:val="002464CE"/>
    <w:rsid w:val="00246994"/>
    <w:rsid w:val="00247211"/>
    <w:rsid w:val="00247333"/>
    <w:rsid w:val="002541E8"/>
    <w:rsid w:val="0025559F"/>
    <w:rsid w:val="00255BFA"/>
    <w:rsid w:val="00256792"/>
    <w:rsid w:val="0026263C"/>
    <w:rsid w:val="00262D73"/>
    <w:rsid w:val="00265B09"/>
    <w:rsid w:val="0027062A"/>
    <w:rsid w:val="00270CB2"/>
    <w:rsid w:val="00271F95"/>
    <w:rsid w:val="00272119"/>
    <w:rsid w:val="00275A32"/>
    <w:rsid w:val="00275C41"/>
    <w:rsid w:val="00277A1E"/>
    <w:rsid w:val="00280227"/>
    <w:rsid w:val="002805FB"/>
    <w:rsid w:val="002825E3"/>
    <w:rsid w:val="002830CB"/>
    <w:rsid w:val="0028463D"/>
    <w:rsid w:val="002848F0"/>
    <w:rsid w:val="00284EA0"/>
    <w:rsid w:val="002900CF"/>
    <w:rsid w:val="00290880"/>
    <w:rsid w:val="00292254"/>
    <w:rsid w:val="00294079"/>
    <w:rsid w:val="00294908"/>
    <w:rsid w:val="00294DCD"/>
    <w:rsid w:val="00295EA7"/>
    <w:rsid w:val="002977A5"/>
    <w:rsid w:val="002977D7"/>
    <w:rsid w:val="002A3253"/>
    <w:rsid w:val="002A3310"/>
    <w:rsid w:val="002A3747"/>
    <w:rsid w:val="002A3755"/>
    <w:rsid w:val="002A56CF"/>
    <w:rsid w:val="002A61EE"/>
    <w:rsid w:val="002A72B2"/>
    <w:rsid w:val="002B0A79"/>
    <w:rsid w:val="002B2E50"/>
    <w:rsid w:val="002B2F5A"/>
    <w:rsid w:val="002B38ED"/>
    <w:rsid w:val="002B4B96"/>
    <w:rsid w:val="002B5574"/>
    <w:rsid w:val="002B5841"/>
    <w:rsid w:val="002C0190"/>
    <w:rsid w:val="002C2F1F"/>
    <w:rsid w:val="002C6301"/>
    <w:rsid w:val="002C6F38"/>
    <w:rsid w:val="002D1F76"/>
    <w:rsid w:val="002D20B3"/>
    <w:rsid w:val="002D4D8E"/>
    <w:rsid w:val="002D5BCC"/>
    <w:rsid w:val="002D730C"/>
    <w:rsid w:val="002E04F8"/>
    <w:rsid w:val="002E3C2C"/>
    <w:rsid w:val="002E40E2"/>
    <w:rsid w:val="002E484A"/>
    <w:rsid w:val="002E512D"/>
    <w:rsid w:val="002E5972"/>
    <w:rsid w:val="002F0EBF"/>
    <w:rsid w:val="002F142B"/>
    <w:rsid w:val="002F17FB"/>
    <w:rsid w:val="002F220B"/>
    <w:rsid w:val="002F311C"/>
    <w:rsid w:val="002F4D52"/>
    <w:rsid w:val="002F4ECD"/>
    <w:rsid w:val="002F614F"/>
    <w:rsid w:val="002F6D7A"/>
    <w:rsid w:val="003000D0"/>
    <w:rsid w:val="0030081D"/>
    <w:rsid w:val="00300D80"/>
    <w:rsid w:val="00301493"/>
    <w:rsid w:val="00302AAD"/>
    <w:rsid w:val="00302F36"/>
    <w:rsid w:val="0030370E"/>
    <w:rsid w:val="00303C5F"/>
    <w:rsid w:val="0030605E"/>
    <w:rsid w:val="003064DD"/>
    <w:rsid w:val="00310AEA"/>
    <w:rsid w:val="00311E13"/>
    <w:rsid w:val="003137DF"/>
    <w:rsid w:val="00313D2C"/>
    <w:rsid w:val="0031529E"/>
    <w:rsid w:val="00315F4E"/>
    <w:rsid w:val="0031768C"/>
    <w:rsid w:val="00317D95"/>
    <w:rsid w:val="003212F7"/>
    <w:rsid w:val="003219ED"/>
    <w:rsid w:val="00322AE7"/>
    <w:rsid w:val="00322B14"/>
    <w:rsid w:val="00323AA8"/>
    <w:rsid w:val="00333371"/>
    <w:rsid w:val="00337088"/>
    <w:rsid w:val="00337F5C"/>
    <w:rsid w:val="003416C9"/>
    <w:rsid w:val="0034222A"/>
    <w:rsid w:val="00343A77"/>
    <w:rsid w:val="00343CC0"/>
    <w:rsid w:val="0034620F"/>
    <w:rsid w:val="00346A92"/>
    <w:rsid w:val="0034781A"/>
    <w:rsid w:val="00353D57"/>
    <w:rsid w:val="003560A4"/>
    <w:rsid w:val="00357BC3"/>
    <w:rsid w:val="00357BCF"/>
    <w:rsid w:val="00360263"/>
    <w:rsid w:val="003603BD"/>
    <w:rsid w:val="003616DA"/>
    <w:rsid w:val="00362705"/>
    <w:rsid w:val="003628E3"/>
    <w:rsid w:val="00374874"/>
    <w:rsid w:val="003752D8"/>
    <w:rsid w:val="00375B73"/>
    <w:rsid w:val="00375F08"/>
    <w:rsid w:val="00376A2F"/>
    <w:rsid w:val="00377EE6"/>
    <w:rsid w:val="0038297E"/>
    <w:rsid w:val="003854B4"/>
    <w:rsid w:val="00386B11"/>
    <w:rsid w:val="00386C29"/>
    <w:rsid w:val="00391A43"/>
    <w:rsid w:val="00391B09"/>
    <w:rsid w:val="00392028"/>
    <w:rsid w:val="00395FF8"/>
    <w:rsid w:val="003972AD"/>
    <w:rsid w:val="003A0260"/>
    <w:rsid w:val="003A1352"/>
    <w:rsid w:val="003A396C"/>
    <w:rsid w:val="003A618A"/>
    <w:rsid w:val="003A71B0"/>
    <w:rsid w:val="003B0708"/>
    <w:rsid w:val="003B093E"/>
    <w:rsid w:val="003B31C0"/>
    <w:rsid w:val="003B37BD"/>
    <w:rsid w:val="003B3D4F"/>
    <w:rsid w:val="003B4F2D"/>
    <w:rsid w:val="003B5C77"/>
    <w:rsid w:val="003C18F1"/>
    <w:rsid w:val="003C1D34"/>
    <w:rsid w:val="003C5601"/>
    <w:rsid w:val="003D00E7"/>
    <w:rsid w:val="003D02CD"/>
    <w:rsid w:val="003D3D2A"/>
    <w:rsid w:val="003D44AD"/>
    <w:rsid w:val="003D4A69"/>
    <w:rsid w:val="003D5049"/>
    <w:rsid w:val="003D6907"/>
    <w:rsid w:val="003E077F"/>
    <w:rsid w:val="003E3A93"/>
    <w:rsid w:val="003E55B0"/>
    <w:rsid w:val="003E55ED"/>
    <w:rsid w:val="003E690A"/>
    <w:rsid w:val="003E73DE"/>
    <w:rsid w:val="003E746F"/>
    <w:rsid w:val="003F0495"/>
    <w:rsid w:val="003F3036"/>
    <w:rsid w:val="003F3938"/>
    <w:rsid w:val="003F5BC8"/>
    <w:rsid w:val="003F7061"/>
    <w:rsid w:val="003F7C54"/>
    <w:rsid w:val="00402AFD"/>
    <w:rsid w:val="00402F61"/>
    <w:rsid w:val="00403F4C"/>
    <w:rsid w:val="0040526F"/>
    <w:rsid w:val="00406DF4"/>
    <w:rsid w:val="004072DC"/>
    <w:rsid w:val="0040771D"/>
    <w:rsid w:val="004108FC"/>
    <w:rsid w:val="00412227"/>
    <w:rsid w:val="0041235C"/>
    <w:rsid w:val="0041380E"/>
    <w:rsid w:val="00415BC8"/>
    <w:rsid w:val="0041772F"/>
    <w:rsid w:val="00420B5B"/>
    <w:rsid w:val="00421E8D"/>
    <w:rsid w:val="00422C10"/>
    <w:rsid w:val="00422F1C"/>
    <w:rsid w:val="00424A4D"/>
    <w:rsid w:val="004257D2"/>
    <w:rsid w:val="00425E7D"/>
    <w:rsid w:val="00426070"/>
    <w:rsid w:val="00431CED"/>
    <w:rsid w:val="0043219B"/>
    <w:rsid w:val="0043383F"/>
    <w:rsid w:val="00435955"/>
    <w:rsid w:val="00435A4B"/>
    <w:rsid w:val="00435FCF"/>
    <w:rsid w:val="00436487"/>
    <w:rsid w:val="004368D2"/>
    <w:rsid w:val="004371F6"/>
    <w:rsid w:val="004378AE"/>
    <w:rsid w:val="004406BC"/>
    <w:rsid w:val="00440DF0"/>
    <w:rsid w:val="00442EFF"/>
    <w:rsid w:val="004444B7"/>
    <w:rsid w:val="004464C4"/>
    <w:rsid w:val="00446C61"/>
    <w:rsid w:val="004477B6"/>
    <w:rsid w:val="00456170"/>
    <w:rsid w:val="00456E55"/>
    <w:rsid w:val="00457D91"/>
    <w:rsid w:val="004602BE"/>
    <w:rsid w:val="004621A0"/>
    <w:rsid w:val="00466ED5"/>
    <w:rsid w:val="0047003A"/>
    <w:rsid w:val="00471064"/>
    <w:rsid w:val="00471554"/>
    <w:rsid w:val="00471712"/>
    <w:rsid w:val="0047254C"/>
    <w:rsid w:val="00472E24"/>
    <w:rsid w:val="00474152"/>
    <w:rsid w:val="00474D13"/>
    <w:rsid w:val="00482E56"/>
    <w:rsid w:val="0048376F"/>
    <w:rsid w:val="004837F1"/>
    <w:rsid w:val="00484C79"/>
    <w:rsid w:val="0048725C"/>
    <w:rsid w:val="0049021E"/>
    <w:rsid w:val="0049276A"/>
    <w:rsid w:val="004945EC"/>
    <w:rsid w:val="0049746C"/>
    <w:rsid w:val="004978FE"/>
    <w:rsid w:val="00497AB6"/>
    <w:rsid w:val="004A147F"/>
    <w:rsid w:val="004A26CF"/>
    <w:rsid w:val="004A2E14"/>
    <w:rsid w:val="004A34A3"/>
    <w:rsid w:val="004A4AE9"/>
    <w:rsid w:val="004A6BA9"/>
    <w:rsid w:val="004A7413"/>
    <w:rsid w:val="004B0263"/>
    <w:rsid w:val="004B18AA"/>
    <w:rsid w:val="004B2B38"/>
    <w:rsid w:val="004B3B7E"/>
    <w:rsid w:val="004B3C74"/>
    <w:rsid w:val="004B3FC2"/>
    <w:rsid w:val="004B6552"/>
    <w:rsid w:val="004C208E"/>
    <w:rsid w:val="004C25F1"/>
    <w:rsid w:val="004C2A59"/>
    <w:rsid w:val="004C2E84"/>
    <w:rsid w:val="004C4B99"/>
    <w:rsid w:val="004C52B6"/>
    <w:rsid w:val="004C5942"/>
    <w:rsid w:val="004C5ABF"/>
    <w:rsid w:val="004C63D3"/>
    <w:rsid w:val="004C69A5"/>
    <w:rsid w:val="004C709D"/>
    <w:rsid w:val="004D3D81"/>
    <w:rsid w:val="004D3EF2"/>
    <w:rsid w:val="004D5935"/>
    <w:rsid w:val="004D603C"/>
    <w:rsid w:val="004D653B"/>
    <w:rsid w:val="004E192A"/>
    <w:rsid w:val="004E413A"/>
    <w:rsid w:val="004E4C95"/>
    <w:rsid w:val="004F10C7"/>
    <w:rsid w:val="004F1E91"/>
    <w:rsid w:val="004F3F7E"/>
    <w:rsid w:val="004F47C2"/>
    <w:rsid w:val="004F53C7"/>
    <w:rsid w:val="004F6DBF"/>
    <w:rsid w:val="004F727D"/>
    <w:rsid w:val="005001F0"/>
    <w:rsid w:val="005001F4"/>
    <w:rsid w:val="00500FDE"/>
    <w:rsid w:val="005030D5"/>
    <w:rsid w:val="0050407D"/>
    <w:rsid w:val="005042BF"/>
    <w:rsid w:val="00506166"/>
    <w:rsid w:val="005062FD"/>
    <w:rsid w:val="00506A93"/>
    <w:rsid w:val="00507095"/>
    <w:rsid w:val="005104E6"/>
    <w:rsid w:val="005105CB"/>
    <w:rsid w:val="005126B0"/>
    <w:rsid w:val="00513A06"/>
    <w:rsid w:val="0051566B"/>
    <w:rsid w:val="0051568F"/>
    <w:rsid w:val="005163FE"/>
    <w:rsid w:val="005164F3"/>
    <w:rsid w:val="00517CBA"/>
    <w:rsid w:val="005242E1"/>
    <w:rsid w:val="005257C6"/>
    <w:rsid w:val="005276EB"/>
    <w:rsid w:val="00530E39"/>
    <w:rsid w:val="0053555D"/>
    <w:rsid w:val="00535D6A"/>
    <w:rsid w:val="00537CC8"/>
    <w:rsid w:val="00537F3D"/>
    <w:rsid w:val="00542C54"/>
    <w:rsid w:val="00543DE4"/>
    <w:rsid w:val="00544BFC"/>
    <w:rsid w:val="00547814"/>
    <w:rsid w:val="00550C23"/>
    <w:rsid w:val="00550CDF"/>
    <w:rsid w:val="005619C3"/>
    <w:rsid w:val="00561B31"/>
    <w:rsid w:val="0056276D"/>
    <w:rsid w:val="005656A1"/>
    <w:rsid w:val="00565F63"/>
    <w:rsid w:val="00567B5B"/>
    <w:rsid w:val="005723C8"/>
    <w:rsid w:val="00574A4B"/>
    <w:rsid w:val="0057600E"/>
    <w:rsid w:val="0057793B"/>
    <w:rsid w:val="00582961"/>
    <w:rsid w:val="00582CFD"/>
    <w:rsid w:val="00585115"/>
    <w:rsid w:val="00585129"/>
    <w:rsid w:val="0058570E"/>
    <w:rsid w:val="005875E0"/>
    <w:rsid w:val="00590458"/>
    <w:rsid w:val="005905E2"/>
    <w:rsid w:val="00591895"/>
    <w:rsid w:val="00597539"/>
    <w:rsid w:val="005A2B87"/>
    <w:rsid w:val="005A2BEA"/>
    <w:rsid w:val="005A39B7"/>
    <w:rsid w:val="005A3E3C"/>
    <w:rsid w:val="005A59AC"/>
    <w:rsid w:val="005A64B7"/>
    <w:rsid w:val="005A6D9F"/>
    <w:rsid w:val="005A72E2"/>
    <w:rsid w:val="005A73CC"/>
    <w:rsid w:val="005B0813"/>
    <w:rsid w:val="005B4964"/>
    <w:rsid w:val="005C0001"/>
    <w:rsid w:val="005C089C"/>
    <w:rsid w:val="005C0A90"/>
    <w:rsid w:val="005C1198"/>
    <w:rsid w:val="005C26EF"/>
    <w:rsid w:val="005C6852"/>
    <w:rsid w:val="005D2282"/>
    <w:rsid w:val="005D4B13"/>
    <w:rsid w:val="005D6ABB"/>
    <w:rsid w:val="005E284D"/>
    <w:rsid w:val="005F088A"/>
    <w:rsid w:val="005F0DE1"/>
    <w:rsid w:val="005F4DB5"/>
    <w:rsid w:val="005F54F8"/>
    <w:rsid w:val="005F655D"/>
    <w:rsid w:val="005F66C6"/>
    <w:rsid w:val="005F6CE7"/>
    <w:rsid w:val="00600430"/>
    <w:rsid w:val="00601E03"/>
    <w:rsid w:val="00602C73"/>
    <w:rsid w:val="00604656"/>
    <w:rsid w:val="00604D7C"/>
    <w:rsid w:val="0060555E"/>
    <w:rsid w:val="00606B6E"/>
    <w:rsid w:val="0060721A"/>
    <w:rsid w:val="00607F8D"/>
    <w:rsid w:val="0061072A"/>
    <w:rsid w:val="00611051"/>
    <w:rsid w:val="0061697B"/>
    <w:rsid w:val="00617736"/>
    <w:rsid w:val="0062021A"/>
    <w:rsid w:val="006202B7"/>
    <w:rsid w:val="006205BA"/>
    <w:rsid w:val="00620EA8"/>
    <w:rsid w:val="00623FF0"/>
    <w:rsid w:val="00624D10"/>
    <w:rsid w:val="00624F60"/>
    <w:rsid w:val="006250A1"/>
    <w:rsid w:val="00625114"/>
    <w:rsid w:val="00625D3B"/>
    <w:rsid w:val="006279F5"/>
    <w:rsid w:val="00627EFC"/>
    <w:rsid w:val="0063055D"/>
    <w:rsid w:val="00630E18"/>
    <w:rsid w:val="0063268B"/>
    <w:rsid w:val="0063366C"/>
    <w:rsid w:val="0064236F"/>
    <w:rsid w:val="00642826"/>
    <w:rsid w:val="00644924"/>
    <w:rsid w:val="00644D0E"/>
    <w:rsid w:val="0064636E"/>
    <w:rsid w:val="00646D24"/>
    <w:rsid w:val="0065004E"/>
    <w:rsid w:val="006557C2"/>
    <w:rsid w:val="00655C3A"/>
    <w:rsid w:val="006576D7"/>
    <w:rsid w:val="00661289"/>
    <w:rsid w:val="00662AA1"/>
    <w:rsid w:val="006656BE"/>
    <w:rsid w:val="00666156"/>
    <w:rsid w:val="006664B6"/>
    <w:rsid w:val="00666B21"/>
    <w:rsid w:val="00670471"/>
    <w:rsid w:val="006709C7"/>
    <w:rsid w:val="006716F0"/>
    <w:rsid w:val="00677123"/>
    <w:rsid w:val="00677E57"/>
    <w:rsid w:val="00680194"/>
    <w:rsid w:val="00687148"/>
    <w:rsid w:val="0068766A"/>
    <w:rsid w:val="00687E64"/>
    <w:rsid w:val="006905F9"/>
    <w:rsid w:val="00690897"/>
    <w:rsid w:val="00691563"/>
    <w:rsid w:val="00695241"/>
    <w:rsid w:val="006958B1"/>
    <w:rsid w:val="006958E7"/>
    <w:rsid w:val="00696044"/>
    <w:rsid w:val="00696640"/>
    <w:rsid w:val="00696D73"/>
    <w:rsid w:val="006A1AA0"/>
    <w:rsid w:val="006A23DD"/>
    <w:rsid w:val="006A268E"/>
    <w:rsid w:val="006A2FFA"/>
    <w:rsid w:val="006A4825"/>
    <w:rsid w:val="006A5D91"/>
    <w:rsid w:val="006A6607"/>
    <w:rsid w:val="006A6F63"/>
    <w:rsid w:val="006B0372"/>
    <w:rsid w:val="006B169D"/>
    <w:rsid w:val="006B19C6"/>
    <w:rsid w:val="006B2211"/>
    <w:rsid w:val="006B4518"/>
    <w:rsid w:val="006B45F1"/>
    <w:rsid w:val="006B6B0B"/>
    <w:rsid w:val="006B740F"/>
    <w:rsid w:val="006B778A"/>
    <w:rsid w:val="006C0F74"/>
    <w:rsid w:val="006C1832"/>
    <w:rsid w:val="006C3932"/>
    <w:rsid w:val="006C58D0"/>
    <w:rsid w:val="006C6BEF"/>
    <w:rsid w:val="006C7DEC"/>
    <w:rsid w:val="006D217B"/>
    <w:rsid w:val="006D27A7"/>
    <w:rsid w:val="006D36C0"/>
    <w:rsid w:val="006D3C3D"/>
    <w:rsid w:val="006D4C4C"/>
    <w:rsid w:val="006D4D6E"/>
    <w:rsid w:val="006E3610"/>
    <w:rsid w:val="006E60D4"/>
    <w:rsid w:val="006E6885"/>
    <w:rsid w:val="006E6AAC"/>
    <w:rsid w:val="006E7114"/>
    <w:rsid w:val="006E7972"/>
    <w:rsid w:val="006F01F2"/>
    <w:rsid w:val="006F0E7E"/>
    <w:rsid w:val="006F0ECE"/>
    <w:rsid w:val="006F1AA2"/>
    <w:rsid w:val="006F3307"/>
    <w:rsid w:val="006F3E73"/>
    <w:rsid w:val="006F4662"/>
    <w:rsid w:val="006F6135"/>
    <w:rsid w:val="006F6647"/>
    <w:rsid w:val="006F6B36"/>
    <w:rsid w:val="006F6E52"/>
    <w:rsid w:val="006F6F98"/>
    <w:rsid w:val="006F7CE3"/>
    <w:rsid w:val="00700254"/>
    <w:rsid w:val="00700734"/>
    <w:rsid w:val="00700B64"/>
    <w:rsid w:val="00702557"/>
    <w:rsid w:val="00703A5B"/>
    <w:rsid w:val="00703F12"/>
    <w:rsid w:val="00704AF9"/>
    <w:rsid w:val="00704E5E"/>
    <w:rsid w:val="00707F05"/>
    <w:rsid w:val="00710763"/>
    <w:rsid w:val="00712994"/>
    <w:rsid w:val="0071436E"/>
    <w:rsid w:val="00714C06"/>
    <w:rsid w:val="0071569D"/>
    <w:rsid w:val="00715E9D"/>
    <w:rsid w:val="00716B87"/>
    <w:rsid w:val="00720471"/>
    <w:rsid w:val="00720991"/>
    <w:rsid w:val="00720A67"/>
    <w:rsid w:val="00720EE7"/>
    <w:rsid w:val="0072425B"/>
    <w:rsid w:val="00724531"/>
    <w:rsid w:val="00730043"/>
    <w:rsid w:val="00730369"/>
    <w:rsid w:val="00730DAF"/>
    <w:rsid w:val="007321BB"/>
    <w:rsid w:val="00733612"/>
    <w:rsid w:val="00733A3D"/>
    <w:rsid w:val="00734911"/>
    <w:rsid w:val="0073788E"/>
    <w:rsid w:val="00737A58"/>
    <w:rsid w:val="00737A9F"/>
    <w:rsid w:val="00740629"/>
    <w:rsid w:val="00741B18"/>
    <w:rsid w:val="007430ED"/>
    <w:rsid w:val="007431E7"/>
    <w:rsid w:val="007444DD"/>
    <w:rsid w:val="0074504D"/>
    <w:rsid w:val="007471D6"/>
    <w:rsid w:val="00747C75"/>
    <w:rsid w:val="00750226"/>
    <w:rsid w:val="0075158B"/>
    <w:rsid w:val="00756E6C"/>
    <w:rsid w:val="007571F6"/>
    <w:rsid w:val="00760BA4"/>
    <w:rsid w:val="00760D51"/>
    <w:rsid w:val="00761420"/>
    <w:rsid w:val="007646AA"/>
    <w:rsid w:val="007647A1"/>
    <w:rsid w:val="00764FD8"/>
    <w:rsid w:val="00767993"/>
    <w:rsid w:val="00770803"/>
    <w:rsid w:val="00771777"/>
    <w:rsid w:val="00774373"/>
    <w:rsid w:val="00774E9B"/>
    <w:rsid w:val="00782B9B"/>
    <w:rsid w:val="00782C92"/>
    <w:rsid w:val="00782CAC"/>
    <w:rsid w:val="00785806"/>
    <w:rsid w:val="00786110"/>
    <w:rsid w:val="00786476"/>
    <w:rsid w:val="00786D3B"/>
    <w:rsid w:val="00792CD0"/>
    <w:rsid w:val="007951D2"/>
    <w:rsid w:val="007A3A7C"/>
    <w:rsid w:val="007B0D86"/>
    <w:rsid w:val="007B4719"/>
    <w:rsid w:val="007B671A"/>
    <w:rsid w:val="007B7281"/>
    <w:rsid w:val="007C1287"/>
    <w:rsid w:val="007C2B90"/>
    <w:rsid w:val="007C6C07"/>
    <w:rsid w:val="007C71AA"/>
    <w:rsid w:val="007C7761"/>
    <w:rsid w:val="007D1346"/>
    <w:rsid w:val="007D1726"/>
    <w:rsid w:val="007D19E6"/>
    <w:rsid w:val="007D40B8"/>
    <w:rsid w:val="007D56D7"/>
    <w:rsid w:val="007D5834"/>
    <w:rsid w:val="007D5B87"/>
    <w:rsid w:val="007D6615"/>
    <w:rsid w:val="007D7591"/>
    <w:rsid w:val="007D790A"/>
    <w:rsid w:val="007E01B3"/>
    <w:rsid w:val="007E29AA"/>
    <w:rsid w:val="007E3CD7"/>
    <w:rsid w:val="007E49DB"/>
    <w:rsid w:val="007E599D"/>
    <w:rsid w:val="007E65C2"/>
    <w:rsid w:val="007E6A85"/>
    <w:rsid w:val="007E76F6"/>
    <w:rsid w:val="007F06B9"/>
    <w:rsid w:val="007F0E8B"/>
    <w:rsid w:val="007F3F04"/>
    <w:rsid w:val="007F55BF"/>
    <w:rsid w:val="007F5A65"/>
    <w:rsid w:val="007F5C04"/>
    <w:rsid w:val="007F6A0F"/>
    <w:rsid w:val="007F7270"/>
    <w:rsid w:val="007F779A"/>
    <w:rsid w:val="00800269"/>
    <w:rsid w:val="00801CB5"/>
    <w:rsid w:val="008027EC"/>
    <w:rsid w:val="00805E7C"/>
    <w:rsid w:val="00806075"/>
    <w:rsid w:val="00807F6E"/>
    <w:rsid w:val="00812498"/>
    <w:rsid w:val="008133E0"/>
    <w:rsid w:val="00814984"/>
    <w:rsid w:val="008151D9"/>
    <w:rsid w:val="00815425"/>
    <w:rsid w:val="00816E55"/>
    <w:rsid w:val="00817B29"/>
    <w:rsid w:val="00821D06"/>
    <w:rsid w:val="00823539"/>
    <w:rsid w:val="00823D2B"/>
    <w:rsid w:val="00824575"/>
    <w:rsid w:val="008302F0"/>
    <w:rsid w:val="00830467"/>
    <w:rsid w:val="008330C0"/>
    <w:rsid w:val="00834933"/>
    <w:rsid w:val="0083585E"/>
    <w:rsid w:val="00835AB4"/>
    <w:rsid w:val="00836C7A"/>
    <w:rsid w:val="00845ACB"/>
    <w:rsid w:val="0084664E"/>
    <w:rsid w:val="00850E6B"/>
    <w:rsid w:val="00853A4B"/>
    <w:rsid w:val="00854053"/>
    <w:rsid w:val="00855D60"/>
    <w:rsid w:val="0085692B"/>
    <w:rsid w:val="008571B4"/>
    <w:rsid w:val="00857E36"/>
    <w:rsid w:val="00861A38"/>
    <w:rsid w:val="00861EDA"/>
    <w:rsid w:val="00864B2F"/>
    <w:rsid w:val="0086526A"/>
    <w:rsid w:val="0086688F"/>
    <w:rsid w:val="008670E7"/>
    <w:rsid w:val="0087121B"/>
    <w:rsid w:val="00872D79"/>
    <w:rsid w:val="008730BD"/>
    <w:rsid w:val="00873799"/>
    <w:rsid w:val="00873A57"/>
    <w:rsid w:val="00874115"/>
    <w:rsid w:val="00877637"/>
    <w:rsid w:val="00877968"/>
    <w:rsid w:val="00880E39"/>
    <w:rsid w:val="00883B78"/>
    <w:rsid w:val="00886174"/>
    <w:rsid w:val="00890387"/>
    <w:rsid w:val="008904BC"/>
    <w:rsid w:val="00892F06"/>
    <w:rsid w:val="008932C8"/>
    <w:rsid w:val="00894F9F"/>
    <w:rsid w:val="00897002"/>
    <w:rsid w:val="008970AC"/>
    <w:rsid w:val="008A12B7"/>
    <w:rsid w:val="008A334B"/>
    <w:rsid w:val="008A3B0D"/>
    <w:rsid w:val="008A4375"/>
    <w:rsid w:val="008A43B7"/>
    <w:rsid w:val="008A5F00"/>
    <w:rsid w:val="008B136C"/>
    <w:rsid w:val="008B1B9A"/>
    <w:rsid w:val="008B6AC4"/>
    <w:rsid w:val="008C0012"/>
    <w:rsid w:val="008C0843"/>
    <w:rsid w:val="008C3292"/>
    <w:rsid w:val="008C36D3"/>
    <w:rsid w:val="008C3ECB"/>
    <w:rsid w:val="008C617F"/>
    <w:rsid w:val="008C7738"/>
    <w:rsid w:val="008D1402"/>
    <w:rsid w:val="008D1436"/>
    <w:rsid w:val="008D58F2"/>
    <w:rsid w:val="008D72D6"/>
    <w:rsid w:val="008D79DC"/>
    <w:rsid w:val="008E34C0"/>
    <w:rsid w:val="008E3D1D"/>
    <w:rsid w:val="008E45EE"/>
    <w:rsid w:val="008E4A82"/>
    <w:rsid w:val="008E5EB3"/>
    <w:rsid w:val="008E7231"/>
    <w:rsid w:val="008F1AF0"/>
    <w:rsid w:val="008F1DA2"/>
    <w:rsid w:val="008F6252"/>
    <w:rsid w:val="008F7E6D"/>
    <w:rsid w:val="008F7F24"/>
    <w:rsid w:val="009011D9"/>
    <w:rsid w:val="00903EEF"/>
    <w:rsid w:val="009052BB"/>
    <w:rsid w:val="00907F21"/>
    <w:rsid w:val="00913117"/>
    <w:rsid w:val="00913E42"/>
    <w:rsid w:val="00914E64"/>
    <w:rsid w:val="00915CD6"/>
    <w:rsid w:val="00916DD8"/>
    <w:rsid w:val="00916E0A"/>
    <w:rsid w:val="00921A00"/>
    <w:rsid w:val="00922240"/>
    <w:rsid w:val="00924CB9"/>
    <w:rsid w:val="00925A96"/>
    <w:rsid w:val="00926C1B"/>
    <w:rsid w:val="00930F75"/>
    <w:rsid w:val="0093205D"/>
    <w:rsid w:val="009324C3"/>
    <w:rsid w:val="0093363A"/>
    <w:rsid w:val="00933B29"/>
    <w:rsid w:val="0093455C"/>
    <w:rsid w:val="00934F35"/>
    <w:rsid w:val="00935186"/>
    <w:rsid w:val="009403F0"/>
    <w:rsid w:val="00941F21"/>
    <w:rsid w:val="00942086"/>
    <w:rsid w:val="00942571"/>
    <w:rsid w:val="00943DC2"/>
    <w:rsid w:val="009454C4"/>
    <w:rsid w:val="00945B89"/>
    <w:rsid w:val="009468E1"/>
    <w:rsid w:val="00946C9C"/>
    <w:rsid w:val="0095147E"/>
    <w:rsid w:val="00955E0F"/>
    <w:rsid w:val="00957433"/>
    <w:rsid w:val="00961C45"/>
    <w:rsid w:val="00961E35"/>
    <w:rsid w:val="009629F2"/>
    <w:rsid w:val="00965A99"/>
    <w:rsid w:val="00965E6E"/>
    <w:rsid w:val="009661F4"/>
    <w:rsid w:val="009676D2"/>
    <w:rsid w:val="00967764"/>
    <w:rsid w:val="00970877"/>
    <w:rsid w:val="0097293F"/>
    <w:rsid w:val="00974135"/>
    <w:rsid w:val="00974417"/>
    <w:rsid w:val="009749A5"/>
    <w:rsid w:val="00975462"/>
    <w:rsid w:val="00975F0E"/>
    <w:rsid w:val="00976A18"/>
    <w:rsid w:val="00976D21"/>
    <w:rsid w:val="0098142D"/>
    <w:rsid w:val="00981E66"/>
    <w:rsid w:val="0098238D"/>
    <w:rsid w:val="009833D2"/>
    <w:rsid w:val="009835B0"/>
    <w:rsid w:val="00983FCB"/>
    <w:rsid w:val="00987C1B"/>
    <w:rsid w:val="00993FF1"/>
    <w:rsid w:val="00995100"/>
    <w:rsid w:val="009960AA"/>
    <w:rsid w:val="009969D7"/>
    <w:rsid w:val="009A0DA6"/>
    <w:rsid w:val="009A3318"/>
    <w:rsid w:val="009A35B2"/>
    <w:rsid w:val="009A5618"/>
    <w:rsid w:val="009A6034"/>
    <w:rsid w:val="009B079D"/>
    <w:rsid w:val="009B1182"/>
    <w:rsid w:val="009B58FD"/>
    <w:rsid w:val="009B5FF9"/>
    <w:rsid w:val="009C2EAA"/>
    <w:rsid w:val="009D40D0"/>
    <w:rsid w:val="009D44FC"/>
    <w:rsid w:val="009D54EE"/>
    <w:rsid w:val="009E0B3D"/>
    <w:rsid w:val="009E1F53"/>
    <w:rsid w:val="009E2D7A"/>
    <w:rsid w:val="009E5A50"/>
    <w:rsid w:val="009E5CB3"/>
    <w:rsid w:val="009E692C"/>
    <w:rsid w:val="009E75BC"/>
    <w:rsid w:val="009E786C"/>
    <w:rsid w:val="009F5480"/>
    <w:rsid w:val="00A00254"/>
    <w:rsid w:val="00A00589"/>
    <w:rsid w:val="00A013D3"/>
    <w:rsid w:val="00A01D86"/>
    <w:rsid w:val="00A037FC"/>
    <w:rsid w:val="00A0403D"/>
    <w:rsid w:val="00A05472"/>
    <w:rsid w:val="00A05B51"/>
    <w:rsid w:val="00A0687D"/>
    <w:rsid w:val="00A07DF2"/>
    <w:rsid w:val="00A1067C"/>
    <w:rsid w:val="00A11752"/>
    <w:rsid w:val="00A1590C"/>
    <w:rsid w:val="00A17119"/>
    <w:rsid w:val="00A17C98"/>
    <w:rsid w:val="00A228B4"/>
    <w:rsid w:val="00A22F97"/>
    <w:rsid w:val="00A22FE6"/>
    <w:rsid w:val="00A2445F"/>
    <w:rsid w:val="00A25F26"/>
    <w:rsid w:val="00A263AD"/>
    <w:rsid w:val="00A26E7D"/>
    <w:rsid w:val="00A26FEA"/>
    <w:rsid w:val="00A30FDB"/>
    <w:rsid w:val="00A323EB"/>
    <w:rsid w:val="00A3302C"/>
    <w:rsid w:val="00A33391"/>
    <w:rsid w:val="00A3349A"/>
    <w:rsid w:val="00A33F0B"/>
    <w:rsid w:val="00A34096"/>
    <w:rsid w:val="00A343A6"/>
    <w:rsid w:val="00A34A4B"/>
    <w:rsid w:val="00A35770"/>
    <w:rsid w:val="00A3788E"/>
    <w:rsid w:val="00A403A1"/>
    <w:rsid w:val="00A40738"/>
    <w:rsid w:val="00A41A0F"/>
    <w:rsid w:val="00A41C84"/>
    <w:rsid w:val="00A41CBC"/>
    <w:rsid w:val="00A45753"/>
    <w:rsid w:val="00A45B31"/>
    <w:rsid w:val="00A46463"/>
    <w:rsid w:val="00A465E3"/>
    <w:rsid w:val="00A46DA2"/>
    <w:rsid w:val="00A50A63"/>
    <w:rsid w:val="00A50E57"/>
    <w:rsid w:val="00A52815"/>
    <w:rsid w:val="00A529EA"/>
    <w:rsid w:val="00A5434A"/>
    <w:rsid w:val="00A5528D"/>
    <w:rsid w:val="00A55AA2"/>
    <w:rsid w:val="00A57932"/>
    <w:rsid w:val="00A57D95"/>
    <w:rsid w:val="00A614A9"/>
    <w:rsid w:val="00A6196F"/>
    <w:rsid w:val="00A62E89"/>
    <w:rsid w:val="00A679E4"/>
    <w:rsid w:val="00A70E47"/>
    <w:rsid w:val="00A70FDA"/>
    <w:rsid w:val="00A71154"/>
    <w:rsid w:val="00A75426"/>
    <w:rsid w:val="00A764AD"/>
    <w:rsid w:val="00A76F11"/>
    <w:rsid w:val="00A83EBA"/>
    <w:rsid w:val="00A85589"/>
    <w:rsid w:val="00A85A26"/>
    <w:rsid w:val="00A90866"/>
    <w:rsid w:val="00A92838"/>
    <w:rsid w:val="00A938FC"/>
    <w:rsid w:val="00A94CD5"/>
    <w:rsid w:val="00A9592E"/>
    <w:rsid w:val="00A966D1"/>
    <w:rsid w:val="00AA0829"/>
    <w:rsid w:val="00AA0CB6"/>
    <w:rsid w:val="00AA1A4E"/>
    <w:rsid w:val="00AA217D"/>
    <w:rsid w:val="00AA44D7"/>
    <w:rsid w:val="00AB0270"/>
    <w:rsid w:val="00AB1D65"/>
    <w:rsid w:val="00AB20BD"/>
    <w:rsid w:val="00AB2E25"/>
    <w:rsid w:val="00AB3149"/>
    <w:rsid w:val="00AB4179"/>
    <w:rsid w:val="00AB4EAA"/>
    <w:rsid w:val="00AB7A46"/>
    <w:rsid w:val="00AC2116"/>
    <w:rsid w:val="00AC2F4E"/>
    <w:rsid w:val="00AC3577"/>
    <w:rsid w:val="00AC5049"/>
    <w:rsid w:val="00AC5078"/>
    <w:rsid w:val="00AC6664"/>
    <w:rsid w:val="00AD140B"/>
    <w:rsid w:val="00AD211E"/>
    <w:rsid w:val="00AD2F76"/>
    <w:rsid w:val="00AD7309"/>
    <w:rsid w:val="00AE3263"/>
    <w:rsid w:val="00AE49D5"/>
    <w:rsid w:val="00AE6758"/>
    <w:rsid w:val="00AF0A37"/>
    <w:rsid w:val="00AF0A3A"/>
    <w:rsid w:val="00AF111E"/>
    <w:rsid w:val="00AF152C"/>
    <w:rsid w:val="00AF2DC3"/>
    <w:rsid w:val="00AF30C5"/>
    <w:rsid w:val="00AF3A39"/>
    <w:rsid w:val="00AF3B07"/>
    <w:rsid w:val="00AF4F10"/>
    <w:rsid w:val="00AF5D29"/>
    <w:rsid w:val="00AF7F24"/>
    <w:rsid w:val="00B03460"/>
    <w:rsid w:val="00B03523"/>
    <w:rsid w:val="00B03818"/>
    <w:rsid w:val="00B03FB1"/>
    <w:rsid w:val="00B04D03"/>
    <w:rsid w:val="00B10555"/>
    <w:rsid w:val="00B13C98"/>
    <w:rsid w:val="00B14DDB"/>
    <w:rsid w:val="00B1512A"/>
    <w:rsid w:val="00B1604D"/>
    <w:rsid w:val="00B236E3"/>
    <w:rsid w:val="00B26206"/>
    <w:rsid w:val="00B26383"/>
    <w:rsid w:val="00B3065F"/>
    <w:rsid w:val="00B33D08"/>
    <w:rsid w:val="00B349EC"/>
    <w:rsid w:val="00B361BF"/>
    <w:rsid w:val="00B449C0"/>
    <w:rsid w:val="00B5046E"/>
    <w:rsid w:val="00B52B22"/>
    <w:rsid w:val="00B56350"/>
    <w:rsid w:val="00B61ADE"/>
    <w:rsid w:val="00B62A2A"/>
    <w:rsid w:val="00B63B43"/>
    <w:rsid w:val="00B63EC4"/>
    <w:rsid w:val="00B641C3"/>
    <w:rsid w:val="00B642C8"/>
    <w:rsid w:val="00B65211"/>
    <w:rsid w:val="00B70CA1"/>
    <w:rsid w:val="00B71016"/>
    <w:rsid w:val="00B75BCE"/>
    <w:rsid w:val="00B75FA7"/>
    <w:rsid w:val="00B765A4"/>
    <w:rsid w:val="00B77D6A"/>
    <w:rsid w:val="00B8014E"/>
    <w:rsid w:val="00B83FEC"/>
    <w:rsid w:val="00B863CD"/>
    <w:rsid w:val="00B864E9"/>
    <w:rsid w:val="00B913DD"/>
    <w:rsid w:val="00B938A7"/>
    <w:rsid w:val="00B93FD6"/>
    <w:rsid w:val="00B96B77"/>
    <w:rsid w:val="00B97001"/>
    <w:rsid w:val="00B973EE"/>
    <w:rsid w:val="00BA11D4"/>
    <w:rsid w:val="00BA2D92"/>
    <w:rsid w:val="00BA390F"/>
    <w:rsid w:val="00BA3D80"/>
    <w:rsid w:val="00BA70A6"/>
    <w:rsid w:val="00BA74C7"/>
    <w:rsid w:val="00BB1320"/>
    <w:rsid w:val="00BB1758"/>
    <w:rsid w:val="00BB1E3E"/>
    <w:rsid w:val="00BB39BA"/>
    <w:rsid w:val="00BB4D73"/>
    <w:rsid w:val="00BB5115"/>
    <w:rsid w:val="00BB58FE"/>
    <w:rsid w:val="00BB697E"/>
    <w:rsid w:val="00BC1BCD"/>
    <w:rsid w:val="00BC3E93"/>
    <w:rsid w:val="00BC4ABE"/>
    <w:rsid w:val="00BC4B89"/>
    <w:rsid w:val="00BC5916"/>
    <w:rsid w:val="00BD107D"/>
    <w:rsid w:val="00BD3010"/>
    <w:rsid w:val="00BD74CB"/>
    <w:rsid w:val="00BE018C"/>
    <w:rsid w:val="00BE0F26"/>
    <w:rsid w:val="00BE131F"/>
    <w:rsid w:val="00BE1C57"/>
    <w:rsid w:val="00BE3A53"/>
    <w:rsid w:val="00BE6583"/>
    <w:rsid w:val="00BE6965"/>
    <w:rsid w:val="00BE7B89"/>
    <w:rsid w:val="00BF1E26"/>
    <w:rsid w:val="00BF2BA6"/>
    <w:rsid w:val="00BF3E03"/>
    <w:rsid w:val="00BF4D00"/>
    <w:rsid w:val="00BF533D"/>
    <w:rsid w:val="00BF7310"/>
    <w:rsid w:val="00C003C2"/>
    <w:rsid w:val="00C0193B"/>
    <w:rsid w:val="00C022E8"/>
    <w:rsid w:val="00C044A4"/>
    <w:rsid w:val="00C04F3B"/>
    <w:rsid w:val="00C067A0"/>
    <w:rsid w:val="00C06905"/>
    <w:rsid w:val="00C06F02"/>
    <w:rsid w:val="00C06FB0"/>
    <w:rsid w:val="00C07F23"/>
    <w:rsid w:val="00C11B0D"/>
    <w:rsid w:val="00C122E4"/>
    <w:rsid w:val="00C1487D"/>
    <w:rsid w:val="00C14F99"/>
    <w:rsid w:val="00C15139"/>
    <w:rsid w:val="00C15551"/>
    <w:rsid w:val="00C15D20"/>
    <w:rsid w:val="00C16A84"/>
    <w:rsid w:val="00C20B5E"/>
    <w:rsid w:val="00C20C26"/>
    <w:rsid w:val="00C20D0B"/>
    <w:rsid w:val="00C25D32"/>
    <w:rsid w:val="00C26A58"/>
    <w:rsid w:val="00C278D8"/>
    <w:rsid w:val="00C304F5"/>
    <w:rsid w:val="00C30C19"/>
    <w:rsid w:val="00C31020"/>
    <w:rsid w:val="00C31D29"/>
    <w:rsid w:val="00C32CA8"/>
    <w:rsid w:val="00C35E02"/>
    <w:rsid w:val="00C375C9"/>
    <w:rsid w:val="00C441AF"/>
    <w:rsid w:val="00C45090"/>
    <w:rsid w:val="00C464B4"/>
    <w:rsid w:val="00C50890"/>
    <w:rsid w:val="00C52117"/>
    <w:rsid w:val="00C536C8"/>
    <w:rsid w:val="00C53952"/>
    <w:rsid w:val="00C5721C"/>
    <w:rsid w:val="00C61F44"/>
    <w:rsid w:val="00C62644"/>
    <w:rsid w:val="00C63BDC"/>
    <w:rsid w:val="00C645FD"/>
    <w:rsid w:val="00C64620"/>
    <w:rsid w:val="00C64980"/>
    <w:rsid w:val="00C64DB8"/>
    <w:rsid w:val="00C66541"/>
    <w:rsid w:val="00C6667C"/>
    <w:rsid w:val="00C7063C"/>
    <w:rsid w:val="00C73282"/>
    <w:rsid w:val="00C74075"/>
    <w:rsid w:val="00C740F0"/>
    <w:rsid w:val="00C75E83"/>
    <w:rsid w:val="00C7784F"/>
    <w:rsid w:val="00C80E10"/>
    <w:rsid w:val="00C829C6"/>
    <w:rsid w:val="00C83E7A"/>
    <w:rsid w:val="00C912E0"/>
    <w:rsid w:val="00C941AD"/>
    <w:rsid w:val="00C95C84"/>
    <w:rsid w:val="00C968D5"/>
    <w:rsid w:val="00C97F44"/>
    <w:rsid w:val="00CA0EA8"/>
    <w:rsid w:val="00CA1CD2"/>
    <w:rsid w:val="00CA38C2"/>
    <w:rsid w:val="00CA39EA"/>
    <w:rsid w:val="00CA40BD"/>
    <w:rsid w:val="00CA49F1"/>
    <w:rsid w:val="00CA59D5"/>
    <w:rsid w:val="00CA5DD0"/>
    <w:rsid w:val="00CB0A47"/>
    <w:rsid w:val="00CB27D4"/>
    <w:rsid w:val="00CB331C"/>
    <w:rsid w:val="00CB3F7C"/>
    <w:rsid w:val="00CB4321"/>
    <w:rsid w:val="00CB4A0F"/>
    <w:rsid w:val="00CB6143"/>
    <w:rsid w:val="00CB6D18"/>
    <w:rsid w:val="00CB73CA"/>
    <w:rsid w:val="00CC566A"/>
    <w:rsid w:val="00CC64DC"/>
    <w:rsid w:val="00CC6CAE"/>
    <w:rsid w:val="00CC72D9"/>
    <w:rsid w:val="00CD04A7"/>
    <w:rsid w:val="00CD58CA"/>
    <w:rsid w:val="00CD5D38"/>
    <w:rsid w:val="00CD7E6A"/>
    <w:rsid w:val="00CE0D27"/>
    <w:rsid w:val="00CE4E41"/>
    <w:rsid w:val="00CE520B"/>
    <w:rsid w:val="00CE537E"/>
    <w:rsid w:val="00CE5BEE"/>
    <w:rsid w:val="00CE73A4"/>
    <w:rsid w:val="00CF144A"/>
    <w:rsid w:val="00CF3770"/>
    <w:rsid w:val="00CF4BF6"/>
    <w:rsid w:val="00CF6E62"/>
    <w:rsid w:val="00CF6EB4"/>
    <w:rsid w:val="00D06D55"/>
    <w:rsid w:val="00D11877"/>
    <w:rsid w:val="00D120F8"/>
    <w:rsid w:val="00D14EE5"/>
    <w:rsid w:val="00D153CC"/>
    <w:rsid w:val="00D15759"/>
    <w:rsid w:val="00D17B2C"/>
    <w:rsid w:val="00D232B7"/>
    <w:rsid w:val="00D26102"/>
    <w:rsid w:val="00D26C5D"/>
    <w:rsid w:val="00D308D4"/>
    <w:rsid w:val="00D30B89"/>
    <w:rsid w:val="00D3118B"/>
    <w:rsid w:val="00D34C92"/>
    <w:rsid w:val="00D359EF"/>
    <w:rsid w:val="00D35B8E"/>
    <w:rsid w:val="00D37273"/>
    <w:rsid w:val="00D37555"/>
    <w:rsid w:val="00D400FA"/>
    <w:rsid w:val="00D402AD"/>
    <w:rsid w:val="00D40EAE"/>
    <w:rsid w:val="00D41302"/>
    <w:rsid w:val="00D42A53"/>
    <w:rsid w:val="00D43CFE"/>
    <w:rsid w:val="00D47B2C"/>
    <w:rsid w:val="00D516E7"/>
    <w:rsid w:val="00D54E66"/>
    <w:rsid w:val="00D55BC4"/>
    <w:rsid w:val="00D56720"/>
    <w:rsid w:val="00D61D01"/>
    <w:rsid w:val="00D651F4"/>
    <w:rsid w:val="00D709A4"/>
    <w:rsid w:val="00D70BF8"/>
    <w:rsid w:val="00D729FA"/>
    <w:rsid w:val="00D72ADB"/>
    <w:rsid w:val="00D755B0"/>
    <w:rsid w:val="00D7583A"/>
    <w:rsid w:val="00D758DF"/>
    <w:rsid w:val="00D76844"/>
    <w:rsid w:val="00D7699D"/>
    <w:rsid w:val="00D80890"/>
    <w:rsid w:val="00D814B9"/>
    <w:rsid w:val="00D81A58"/>
    <w:rsid w:val="00D82257"/>
    <w:rsid w:val="00D83F60"/>
    <w:rsid w:val="00D8417D"/>
    <w:rsid w:val="00D8542D"/>
    <w:rsid w:val="00D86705"/>
    <w:rsid w:val="00D877DB"/>
    <w:rsid w:val="00D9016A"/>
    <w:rsid w:val="00D91897"/>
    <w:rsid w:val="00D91D2A"/>
    <w:rsid w:val="00D94BBB"/>
    <w:rsid w:val="00D96C1E"/>
    <w:rsid w:val="00DA0941"/>
    <w:rsid w:val="00DA0C47"/>
    <w:rsid w:val="00DA4822"/>
    <w:rsid w:val="00DA6DFD"/>
    <w:rsid w:val="00DA6EFC"/>
    <w:rsid w:val="00DB0DED"/>
    <w:rsid w:val="00DB0EF6"/>
    <w:rsid w:val="00DB1E27"/>
    <w:rsid w:val="00DB26D5"/>
    <w:rsid w:val="00DB30ED"/>
    <w:rsid w:val="00DB6F32"/>
    <w:rsid w:val="00DC4912"/>
    <w:rsid w:val="00DC61B6"/>
    <w:rsid w:val="00DC7AA5"/>
    <w:rsid w:val="00DD1D6A"/>
    <w:rsid w:val="00DD6894"/>
    <w:rsid w:val="00DD7A91"/>
    <w:rsid w:val="00DE05B0"/>
    <w:rsid w:val="00DE5D59"/>
    <w:rsid w:val="00DE5E5C"/>
    <w:rsid w:val="00DE623C"/>
    <w:rsid w:val="00DE641A"/>
    <w:rsid w:val="00DF016F"/>
    <w:rsid w:val="00DF1694"/>
    <w:rsid w:val="00DF2A06"/>
    <w:rsid w:val="00DF45BC"/>
    <w:rsid w:val="00DF47DE"/>
    <w:rsid w:val="00DF6190"/>
    <w:rsid w:val="00DF6A09"/>
    <w:rsid w:val="00DF6D22"/>
    <w:rsid w:val="00DF7534"/>
    <w:rsid w:val="00DF7F6C"/>
    <w:rsid w:val="00E017A7"/>
    <w:rsid w:val="00E02831"/>
    <w:rsid w:val="00E046AB"/>
    <w:rsid w:val="00E05901"/>
    <w:rsid w:val="00E06D21"/>
    <w:rsid w:val="00E07F43"/>
    <w:rsid w:val="00E10C62"/>
    <w:rsid w:val="00E1451B"/>
    <w:rsid w:val="00E2064D"/>
    <w:rsid w:val="00E20FFE"/>
    <w:rsid w:val="00E2142B"/>
    <w:rsid w:val="00E2210D"/>
    <w:rsid w:val="00E22A18"/>
    <w:rsid w:val="00E239E2"/>
    <w:rsid w:val="00E24321"/>
    <w:rsid w:val="00E25444"/>
    <w:rsid w:val="00E316BB"/>
    <w:rsid w:val="00E318D2"/>
    <w:rsid w:val="00E31DF3"/>
    <w:rsid w:val="00E31E09"/>
    <w:rsid w:val="00E33798"/>
    <w:rsid w:val="00E354A3"/>
    <w:rsid w:val="00E40357"/>
    <w:rsid w:val="00E42772"/>
    <w:rsid w:val="00E42CF4"/>
    <w:rsid w:val="00E45ACB"/>
    <w:rsid w:val="00E45D83"/>
    <w:rsid w:val="00E46F6B"/>
    <w:rsid w:val="00E477F6"/>
    <w:rsid w:val="00E50D4F"/>
    <w:rsid w:val="00E528BA"/>
    <w:rsid w:val="00E52A93"/>
    <w:rsid w:val="00E53A16"/>
    <w:rsid w:val="00E53D75"/>
    <w:rsid w:val="00E5567F"/>
    <w:rsid w:val="00E556F2"/>
    <w:rsid w:val="00E57C8F"/>
    <w:rsid w:val="00E60BB4"/>
    <w:rsid w:val="00E64C36"/>
    <w:rsid w:val="00E70E80"/>
    <w:rsid w:val="00E72A0D"/>
    <w:rsid w:val="00E730BF"/>
    <w:rsid w:val="00E74609"/>
    <w:rsid w:val="00E7569E"/>
    <w:rsid w:val="00E8036A"/>
    <w:rsid w:val="00E806E9"/>
    <w:rsid w:val="00E80A75"/>
    <w:rsid w:val="00E856B9"/>
    <w:rsid w:val="00E85CDC"/>
    <w:rsid w:val="00E865D0"/>
    <w:rsid w:val="00E913D4"/>
    <w:rsid w:val="00E91669"/>
    <w:rsid w:val="00E974C2"/>
    <w:rsid w:val="00E97807"/>
    <w:rsid w:val="00EA2259"/>
    <w:rsid w:val="00EA3100"/>
    <w:rsid w:val="00EA6245"/>
    <w:rsid w:val="00EB020C"/>
    <w:rsid w:val="00EB0635"/>
    <w:rsid w:val="00EB1219"/>
    <w:rsid w:val="00EB1F33"/>
    <w:rsid w:val="00EB2544"/>
    <w:rsid w:val="00EB2FCF"/>
    <w:rsid w:val="00EB4C89"/>
    <w:rsid w:val="00EB5CE6"/>
    <w:rsid w:val="00EB7918"/>
    <w:rsid w:val="00EB7B9F"/>
    <w:rsid w:val="00EC0F9B"/>
    <w:rsid w:val="00EC1986"/>
    <w:rsid w:val="00EC1EA6"/>
    <w:rsid w:val="00EC2164"/>
    <w:rsid w:val="00ED2434"/>
    <w:rsid w:val="00ED3303"/>
    <w:rsid w:val="00ED3314"/>
    <w:rsid w:val="00ED4AD9"/>
    <w:rsid w:val="00ED5B5C"/>
    <w:rsid w:val="00ED5C66"/>
    <w:rsid w:val="00ED5E92"/>
    <w:rsid w:val="00ED6A3C"/>
    <w:rsid w:val="00ED7377"/>
    <w:rsid w:val="00ED7FC5"/>
    <w:rsid w:val="00EE00A0"/>
    <w:rsid w:val="00EE0FC7"/>
    <w:rsid w:val="00EE1BC7"/>
    <w:rsid w:val="00EE606C"/>
    <w:rsid w:val="00EF17CA"/>
    <w:rsid w:val="00EF22FF"/>
    <w:rsid w:val="00F00116"/>
    <w:rsid w:val="00F0019E"/>
    <w:rsid w:val="00F02C1C"/>
    <w:rsid w:val="00F03204"/>
    <w:rsid w:val="00F03601"/>
    <w:rsid w:val="00F048E5"/>
    <w:rsid w:val="00F06025"/>
    <w:rsid w:val="00F105B0"/>
    <w:rsid w:val="00F10707"/>
    <w:rsid w:val="00F10CF0"/>
    <w:rsid w:val="00F14365"/>
    <w:rsid w:val="00F15B27"/>
    <w:rsid w:val="00F166B1"/>
    <w:rsid w:val="00F16CC0"/>
    <w:rsid w:val="00F20777"/>
    <w:rsid w:val="00F21CDB"/>
    <w:rsid w:val="00F22855"/>
    <w:rsid w:val="00F26F4B"/>
    <w:rsid w:val="00F30078"/>
    <w:rsid w:val="00F30C21"/>
    <w:rsid w:val="00F34F61"/>
    <w:rsid w:val="00F36213"/>
    <w:rsid w:val="00F36A2C"/>
    <w:rsid w:val="00F416EE"/>
    <w:rsid w:val="00F4526C"/>
    <w:rsid w:val="00F45D9E"/>
    <w:rsid w:val="00F47CAC"/>
    <w:rsid w:val="00F50F07"/>
    <w:rsid w:val="00F51067"/>
    <w:rsid w:val="00F5276F"/>
    <w:rsid w:val="00F52F60"/>
    <w:rsid w:val="00F549D8"/>
    <w:rsid w:val="00F54C12"/>
    <w:rsid w:val="00F55974"/>
    <w:rsid w:val="00F55CC8"/>
    <w:rsid w:val="00F576E4"/>
    <w:rsid w:val="00F62EC6"/>
    <w:rsid w:val="00F67529"/>
    <w:rsid w:val="00F67AFC"/>
    <w:rsid w:val="00F732CD"/>
    <w:rsid w:val="00F74666"/>
    <w:rsid w:val="00F756BA"/>
    <w:rsid w:val="00F75F4E"/>
    <w:rsid w:val="00F76B48"/>
    <w:rsid w:val="00F821D9"/>
    <w:rsid w:val="00F824C0"/>
    <w:rsid w:val="00F82B22"/>
    <w:rsid w:val="00F82CEB"/>
    <w:rsid w:val="00F83056"/>
    <w:rsid w:val="00F86A8F"/>
    <w:rsid w:val="00F87504"/>
    <w:rsid w:val="00F87BEB"/>
    <w:rsid w:val="00F9063B"/>
    <w:rsid w:val="00F9261B"/>
    <w:rsid w:val="00F93383"/>
    <w:rsid w:val="00F9423E"/>
    <w:rsid w:val="00F95CD6"/>
    <w:rsid w:val="00F973F3"/>
    <w:rsid w:val="00FA179E"/>
    <w:rsid w:val="00FA227E"/>
    <w:rsid w:val="00FA2CF6"/>
    <w:rsid w:val="00FA2EDF"/>
    <w:rsid w:val="00FA319D"/>
    <w:rsid w:val="00FA37FA"/>
    <w:rsid w:val="00FA6F5D"/>
    <w:rsid w:val="00FA71DE"/>
    <w:rsid w:val="00FA7222"/>
    <w:rsid w:val="00FB0513"/>
    <w:rsid w:val="00FB0DEA"/>
    <w:rsid w:val="00FB11D1"/>
    <w:rsid w:val="00FB20E6"/>
    <w:rsid w:val="00FB5513"/>
    <w:rsid w:val="00FB5F7E"/>
    <w:rsid w:val="00FB70D2"/>
    <w:rsid w:val="00FC00CD"/>
    <w:rsid w:val="00FC0273"/>
    <w:rsid w:val="00FC0309"/>
    <w:rsid w:val="00FC0919"/>
    <w:rsid w:val="00FC0959"/>
    <w:rsid w:val="00FC22F4"/>
    <w:rsid w:val="00FC4BE7"/>
    <w:rsid w:val="00FC72F6"/>
    <w:rsid w:val="00FD024B"/>
    <w:rsid w:val="00FD08B8"/>
    <w:rsid w:val="00FD0D1E"/>
    <w:rsid w:val="00FD3C09"/>
    <w:rsid w:val="00FE0570"/>
    <w:rsid w:val="00FE13BF"/>
    <w:rsid w:val="00FE20A6"/>
    <w:rsid w:val="00FE5BB6"/>
    <w:rsid w:val="00FF03FE"/>
    <w:rsid w:val="00FF2D2B"/>
    <w:rsid w:val="00FF33FD"/>
    <w:rsid w:val="00FF37E0"/>
    <w:rsid w:val="00FF3F0E"/>
    <w:rsid w:val="00FF70CD"/>
    <w:rsid w:val="00FF7628"/>
    <w:rsid w:val="00FF7693"/>
    <w:rsid w:val="0E437AB9"/>
    <w:rsid w:val="17D723FA"/>
    <w:rsid w:val="19D8E44E"/>
    <w:rsid w:val="1B62637C"/>
    <w:rsid w:val="1E78BB9A"/>
    <w:rsid w:val="23053D90"/>
    <w:rsid w:val="26E35D58"/>
    <w:rsid w:val="29CA18F5"/>
    <w:rsid w:val="2A29139B"/>
    <w:rsid w:val="31E0B210"/>
    <w:rsid w:val="36AD615A"/>
    <w:rsid w:val="3D64C195"/>
    <w:rsid w:val="3F61E26E"/>
    <w:rsid w:val="471D8028"/>
    <w:rsid w:val="4B1F14A0"/>
    <w:rsid w:val="4B80F613"/>
    <w:rsid w:val="572B4B56"/>
    <w:rsid w:val="5FB3E936"/>
    <w:rsid w:val="62748556"/>
    <w:rsid w:val="667B67A6"/>
    <w:rsid w:val="686C706F"/>
    <w:rsid w:val="6A901D71"/>
    <w:rsid w:val="6AF6C2EE"/>
    <w:rsid w:val="6F71CCA4"/>
    <w:rsid w:val="761C1E87"/>
    <w:rsid w:val="77ECEBC6"/>
    <w:rsid w:val="79BA18D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FAFCD"/>
  <w15:docId w15:val="{74CDA594-CA72-4A35-A71D-B12ECA36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locked="0"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B45F1"/>
    <w:pPr>
      <w:spacing w:before="120" w:line="240" w:lineRule="auto"/>
    </w:pPr>
    <w:rPr>
      <w:rFonts w:ascii="VIC" w:eastAsia="Times New Roman" w:hAnsi="VIC" w:cs="Times New Roman"/>
      <w:color w:val="404040" w:themeColor="text1" w:themeTint="BF"/>
      <w:sz w:val="18"/>
      <w:szCs w:val="20"/>
    </w:rPr>
  </w:style>
  <w:style w:type="paragraph" w:styleId="Heading1">
    <w:name w:val="heading 1"/>
    <w:basedOn w:val="Normal"/>
    <w:next w:val="Normal"/>
    <w:link w:val="Heading1Char"/>
    <w:uiPriority w:val="9"/>
    <w:qFormat/>
    <w:rsid w:val="00D82257"/>
    <w:pPr>
      <w:keepNext/>
      <w:keepLines/>
      <w:pageBreakBefore/>
      <w:numPr>
        <w:numId w:val="2"/>
      </w:numPr>
      <w:spacing w:before="520" w:after="0"/>
      <w:ind w:left="431" w:hanging="431"/>
      <w:outlineLvl w:val="0"/>
    </w:pPr>
    <w:rPr>
      <w:bCs/>
      <w:color w:val="201547" w:themeColor="text2"/>
      <w:sz w:val="48"/>
      <w:szCs w:val="32"/>
    </w:rPr>
  </w:style>
  <w:style w:type="paragraph" w:styleId="Heading2">
    <w:name w:val="heading 2"/>
    <w:basedOn w:val="Normal"/>
    <w:next w:val="Normal"/>
    <w:link w:val="Heading2Char"/>
    <w:uiPriority w:val="9"/>
    <w:qFormat/>
    <w:rsid w:val="00ED3314"/>
    <w:pPr>
      <w:keepNext/>
      <w:keepLines/>
      <w:numPr>
        <w:ilvl w:val="1"/>
        <w:numId w:val="2"/>
      </w:numPr>
      <w:spacing w:before="400"/>
      <w:outlineLvl w:val="1"/>
    </w:pPr>
    <w:rPr>
      <w:rFonts w:ascii="VIC Medium" w:hAnsi="VIC Medium"/>
      <w:bCs/>
      <w:color w:val="E35105" w:themeColor="accent2"/>
      <w:sz w:val="28"/>
      <w:szCs w:val="26"/>
    </w:rPr>
  </w:style>
  <w:style w:type="paragraph" w:styleId="Heading3">
    <w:name w:val="heading 3"/>
    <w:basedOn w:val="Normal"/>
    <w:next w:val="Normal"/>
    <w:link w:val="Heading3Char"/>
    <w:uiPriority w:val="9"/>
    <w:qFormat/>
    <w:rsid w:val="00C044A4"/>
    <w:pPr>
      <w:keepNext/>
      <w:keepLines/>
      <w:numPr>
        <w:ilvl w:val="2"/>
        <w:numId w:val="2"/>
      </w:numPr>
      <w:spacing w:before="320" w:after="160"/>
      <w:outlineLvl w:val="2"/>
    </w:pPr>
    <w:rPr>
      <w:b/>
      <w:bCs/>
      <w:sz w:val="22"/>
    </w:rPr>
  </w:style>
  <w:style w:type="paragraph" w:styleId="Heading4">
    <w:name w:val="heading 4"/>
    <w:basedOn w:val="Normal"/>
    <w:next w:val="Normal"/>
    <w:link w:val="Heading4Char"/>
    <w:uiPriority w:val="9"/>
    <w:unhideWhenUsed/>
    <w:rsid w:val="00037BEE"/>
    <w:pPr>
      <w:keepNext/>
      <w:keepLines/>
      <w:numPr>
        <w:ilvl w:val="3"/>
        <w:numId w:val="2"/>
      </w:numPr>
      <w:spacing w:before="280" w:after="0"/>
      <w:ind w:left="862" w:hanging="862"/>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unhideWhenUsed/>
    <w:locked/>
    <w:rsid w:val="00892F06"/>
    <w:pPr>
      <w:keepNext/>
      <w:keepLines/>
      <w:numPr>
        <w:ilvl w:val="4"/>
        <w:numId w:val="2"/>
      </w:numPr>
      <w:spacing w:before="280" w:after="0"/>
      <w:ind w:left="1009" w:hanging="1009"/>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locked/>
    <w:rsid w:val="009629F2"/>
    <w:pPr>
      <w:keepNext/>
      <w:keepLines/>
      <w:numPr>
        <w:ilvl w:val="5"/>
        <w:numId w:val="2"/>
      </w:numPr>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locked/>
    <w:rsid w:val="00DB0DED"/>
    <w:pPr>
      <w:keepNext/>
      <w:keepLines/>
      <w:numPr>
        <w:ilvl w:val="6"/>
        <w:numId w:val="2"/>
      </w:numPr>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DB0DED"/>
    <w:pPr>
      <w:keepNext/>
      <w:keepLines/>
      <w:numPr>
        <w:ilvl w:val="7"/>
        <w:numId w:val="2"/>
      </w:numPr>
      <w:spacing w:before="200"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locked/>
    <w:rsid w:val="00DB0DED"/>
    <w:pPr>
      <w:keepNext/>
      <w:keepLines/>
      <w:numPr>
        <w:ilvl w:val="8"/>
        <w:numId w:val="2"/>
      </w:numPr>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257"/>
    <w:rPr>
      <w:rFonts w:ascii="VIC" w:eastAsia="Times New Roman" w:hAnsi="VIC" w:cs="Times New Roman"/>
      <w:bCs/>
      <w:color w:val="201547" w:themeColor="text2"/>
      <w:sz w:val="48"/>
      <w:szCs w:val="32"/>
    </w:rPr>
  </w:style>
  <w:style w:type="character" w:customStyle="1" w:styleId="Heading2Char">
    <w:name w:val="Heading 2 Char"/>
    <w:basedOn w:val="DefaultParagraphFont"/>
    <w:link w:val="Heading2"/>
    <w:uiPriority w:val="9"/>
    <w:rsid w:val="00ED3314"/>
    <w:rPr>
      <w:rFonts w:ascii="VIC Medium" w:eastAsia="Times New Roman" w:hAnsi="VIC Medium" w:cs="Times New Roman"/>
      <w:bCs/>
      <w:color w:val="E35105" w:themeColor="accent2"/>
      <w:sz w:val="28"/>
      <w:szCs w:val="26"/>
    </w:rPr>
  </w:style>
  <w:style w:type="character" w:customStyle="1" w:styleId="Heading3Char">
    <w:name w:val="Heading 3 Char"/>
    <w:basedOn w:val="DefaultParagraphFont"/>
    <w:link w:val="Heading3"/>
    <w:uiPriority w:val="9"/>
    <w:rsid w:val="00C044A4"/>
    <w:rPr>
      <w:rFonts w:ascii="VIC" w:eastAsia="Times New Roman" w:hAnsi="VIC" w:cs="Times New Roman"/>
      <w:b/>
      <w:bCs/>
      <w:color w:val="404040" w:themeColor="text1" w:themeTint="BF"/>
      <w:szCs w:val="20"/>
    </w:rPr>
  </w:style>
  <w:style w:type="character" w:styleId="FollowedHyperlink">
    <w:name w:val="FollowedHyperlink"/>
    <w:basedOn w:val="DefaultParagraphFont"/>
    <w:semiHidden/>
    <w:unhideWhenUsed/>
    <w:locked/>
    <w:rsid w:val="004F10C7"/>
    <w:rPr>
      <w:rFonts w:ascii="VIC" w:hAnsi="VIC"/>
      <w:color w:val="78BE20"/>
      <w:u w:val="single"/>
    </w:rPr>
  </w:style>
  <w:style w:type="paragraph" w:styleId="Footer">
    <w:name w:val="footer"/>
    <w:basedOn w:val="Normal"/>
    <w:link w:val="FooterChar"/>
    <w:uiPriority w:val="99"/>
    <w:rsid w:val="007D5B87"/>
    <w:pPr>
      <w:tabs>
        <w:tab w:val="right" w:pos="14570"/>
      </w:tabs>
    </w:pPr>
    <w:rPr>
      <w:color w:val="7F7F7F" w:themeColor="text1" w:themeTint="80"/>
      <w:sz w:val="16"/>
      <w:szCs w:val="16"/>
    </w:rPr>
  </w:style>
  <w:style w:type="character" w:customStyle="1" w:styleId="FooterChar">
    <w:name w:val="Footer Char"/>
    <w:basedOn w:val="DefaultParagraphFont"/>
    <w:link w:val="Footer"/>
    <w:uiPriority w:val="99"/>
    <w:rsid w:val="007D5B87"/>
    <w:rPr>
      <w:rFonts w:ascii="VIC" w:eastAsia="Times New Roman" w:hAnsi="VIC" w:cs="Times New Roman"/>
      <w:color w:val="7F7F7F" w:themeColor="text1" w:themeTint="80"/>
      <w:sz w:val="16"/>
      <w:szCs w:val="16"/>
    </w:rPr>
  </w:style>
  <w:style w:type="paragraph" w:styleId="Header">
    <w:name w:val="header"/>
    <w:basedOn w:val="Normal"/>
    <w:link w:val="HeaderChar"/>
    <w:uiPriority w:val="99"/>
    <w:unhideWhenUsed/>
    <w:rsid w:val="001471C8"/>
    <w:pPr>
      <w:tabs>
        <w:tab w:val="center" w:pos="4320"/>
        <w:tab w:val="right" w:pos="8640"/>
      </w:tabs>
      <w:spacing w:before="0" w:after="0"/>
    </w:pPr>
    <w:rPr>
      <w:color w:val="7F7F7F" w:themeColor="text1" w:themeTint="80"/>
    </w:rPr>
  </w:style>
  <w:style w:type="character" w:customStyle="1" w:styleId="HeaderChar">
    <w:name w:val="Header Char"/>
    <w:basedOn w:val="DefaultParagraphFont"/>
    <w:link w:val="Header"/>
    <w:uiPriority w:val="99"/>
    <w:rsid w:val="001471C8"/>
    <w:rPr>
      <w:rFonts w:ascii="VIC" w:eastAsia="Times New Roman" w:hAnsi="VIC" w:cs="Times New Roman"/>
      <w:color w:val="7F7F7F" w:themeColor="text1" w:themeTint="80"/>
      <w:sz w:val="18"/>
      <w:szCs w:val="20"/>
    </w:rPr>
  </w:style>
  <w:style w:type="character" w:styleId="Hyperlink">
    <w:name w:val="Hyperlink"/>
    <w:basedOn w:val="DefaultParagraphFont"/>
    <w:uiPriority w:val="99"/>
    <w:unhideWhenUsed/>
    <w:rsid w:val="00C044A4"/>
    <w:rPr>
      <w:rFonts w:ascii="VIC" w:hAnsi="VIC"/>
      <w:color w:val="E35105" w:themeColor="accent2"/>
      <w:u w:val="single"/>
    </w:rPr>
  </w:style>
  <w:style w:type="character" w:styleId="PageNumber">
    <w:name w:val="page number"/>
    <w:uiPriority w:val="99"/>
    <w:unhideWhenUsed/>
    <w:locked/>
    <w:rsid w:val="002F614F"/>
    <w:rPr>
      <w:rFonts w:ascii="VIC" w:hAnsi="VIC"/>
      <w:color w:val="7F7F7F" w:themeColor="text1" w:themeTint="80"/>
      <w:sz w:val="16"/>
      <w:szCs w:val="16"/>
    </w:rPr>
  </w:style>
  <w:style w:type="character" w:customStyle="1" w:styleId="Heading4Char">
    <w:name w:val="Heading 4 Char"/>
    <w:basedOn w:val="DefaultParagraphFont"/>
    <w:link w:val="Heading4"/>
    <w:uiPriority w:val="9"/>
    <w:rsid w:val="00037BEE"/>
    <w:rPr>
      <w:rFonts w:ascii="VIC" w:eastAsiaTheme="majorEastAsia" w:hAnsi="VIC" w:cstheme="majorBidi"/>
      <w:b/>
      <w:bCs/>
      <w:iCs/>
      <w:color w:val="000000" w:themeColor="text1"/>
      <w:sz w:val="18"/>
      <w:szCs w:val="20"/>
    </w:rPr>
  </w:style>
  <w:style w:type="paragraph" w:styleId="BalloonText">
    <w:name w:val="Balloon Text"/>
    <w:basedOn w:val="Normal"/>
    <w:link w:val="BalloonTextChar"/>
    <w:uiPriority w:val="99"/>
    <w:semiHidden/>
    <w:unhideWhenUsed/>
    <w:lock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703A5B"/>
    <w:pPr>
      <w:spacing w:before="0" w:after="400"/>
    </w:pPr>
    <w:rPr>
      <w:b/>
      <w:caps/>
      <w:color w:val="000000" w:themeColor="text1"/>
      <w:sz w:val="36"/>
      <w:szCs w:val="48"/>
    </w:rPr>
  </w:style>
  <w:style w:type="character" w:customStyle="1" w:styleId="Heading5Char">
    <w:name w:val="Heading 5 Char"/>
    <w:basedOn w:val="DefaultParagraphFont"/>
    <w:link w:val="Heading5"/>
    <w:uiPriority w:val="9"/>
    <w:rsid w:val="00892F06"/>
    <w:rPr>
      <w:rFonts w:ascii="VIC" w:eastAsiaTheme="majorEastAsia" w:hAnsi="VIC" w:cstheme="majorBidi"/>
      <w:color w:val="000000" w:themeColor="text1"/>
      <w:sz w:val="18"/>
      <w:szCs w:val="20"/>
    </w:rPr>
  </w:style>
  <w:style w:type="character" w:customStyle="1" w:styleId="Heading6Char">
    <w:name w:val="Heading 6 Char"/>
    <w:basedOn w:val="DefaultParagraphFont"/>
    <w:link w:val="Heading6"/>
    <w:uiPriority w:val="9"/>
    <w:semiHidden/>
    <w:rsid w:val="009629F2"/>
    <w:rPr>
      <w:rFonts w:asciiTheme="majorHAnsi" w:eastAsiaTheme="majorEastAsia" w:hAnsiTheme="majorHAnsi" w:cstheme="majorBidi"/>
      <w:i/>
      <w:iCs/>
      <w:color w:val="000000" w:themeColor="text1"/>
      <w:sz w:val="18"/>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04040" w:themeColor="text1" w:themeTint="BF"/>
      <w:sz w:val="18"/>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04040" w:themeColor="text1" w:themeTint="BF"/>
      <w:sz w:val="18"/>
      <w:szCs w:val="20"/>
    </w:rPr>
  </w:style>
  <w:style w:type="table" w:styleId="TableGrid">
    <w:name w:val="Table Grid"/>
    <w:basedOn w:val="TableNormal"/>
    <w:uiPriority w:val="59"/>
    <w:locked/>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locked/>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E6E6E6" w:themeFill="background2"/>
      </w:tcPr>
    </w:tblStylePr>
    <w:tblStylePr w:type="firstCol">
      <w:rPr>
        <w:rFonts w:ascii="Arial" w:hAnsi="Arial"/>
        <w:b/>
        <w:sz w:val="20"/>
      </w:rPr>
    </w:tblStylePr>
  </w:style>
  <w:style w:type="table" w:styleId="LightShading">
    <w:name w:val="Light Shading"/>
    <w:basedOn w:val="TableNormal"/>
    <w:uiPriority w:val="60"/>
    <w:locked/>
    <w:rsid w:val="008027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703A5B"/>
    <w:pPr>
      <w:tabs>
        <w:tab w:val="left" w:pos="600"/>
        <w:tab w:val="right" w:pos="9071"/>
        <w:tab w:val="left" w:leader="dot" w:pos="14175"/>
      </w:tabs>
      <w:spacing w:before="240" w:after="100"/>
    </w:pPr>
    <w:rPr>
      <w:b/>
    </w:rPr>
  </w:style>
  <w:style w:type="paragraph" w:styleId="TOC2">
    <w:name w:val="toc 2"/>
    <w:basedOn w:val="Normal"/>
    <w:next w:val="Normal"/>
    <w:autoRedefine/>
    <w:uiPriority w:val="39"/>
    <w:unhideWhenUsed/>
    <w:rsid w:val="00703A5B"/>
    <w:pPr>
      <w:tabs>
        <w:tab w:val="left" w:pos="567"/>
        <w:tab w:val="left" w:pos="1134"/>
        <w:tab w:val="right" w:pos="9071"/>
        <w:tab w:val="left" w:leader="dot" w:pos="14175"/>
      </w:tabs>
      <w:spacing w:after="100"/>
      <w:ind w:left="567"/>
    </w:pPr>
  </w:style>
  <w:style w:type="paragraph" w:styleId="TOC3">
    <w:name w:val="toc 3"/>
    <w:basedOn w:val="Normal"/>
    <w:next w:val="Normal"/>
    <w:autoRedefine/>
    <w:uiPriority w:val="39"/>
    <w:unhideWhenUsed/>
    <w:rsid w:val="00874115"/>
    <w:pPr>
      <w:tabs>
        <w:tab w:val="left" w:pos="1134"/>
        <w:tab w:val="left" w:pos="1701"/>
        <w:tab w:val="right" w:pos="9071"/>
        <w:tab w:val="left" w:leader="dot" w:pos="14175"/>
      </w:tabs>
      <w:spacing w:after="100"/>
      <w:ind w:left="1134"/>
    </w:pPr>
  </w:style>
  <w:style w:type="paragraph" w:customStyle="1" w:styleId="introparagraph">
    <w:name w:val="# intro paragraph"/>
    <w:basedOn w:val="Normal"/>
    <w:qFormat/>
    <w:rsid w:val="006B45F1"/>
    <w:rPr>
      <w:sz w:val="28"/>
    </w:rPr>
  </w:style>
  <w:style w:type="paragraph" w:styleId="Subtitle">
    <w:name w:val="Subtitle"/>
    <w:basedOn w:val="Normal"/>
    <w:link w:val="SubtitleChar"/>
    <w:uiPriority w:val="11"/>
    <w:qFormat/>
    <w:rsid w:val="009661F4"/>
    <w:pPr>
      <w:spacing w:before="180" w:after="480" w:line="480" w:lineRule="exact"/>
      <w:ind w:right="1985"/>
    </w:pPr>
    <w:rPr>
      <w:rFonts w:ascii="VIC Light" w:hAnsi="VIC Light"/>
      <w:color w:val="auto"/>
      <w:sz w:val="48"/>
    </w:rPr>
  </w:style>
  <w:style w:type="character" w:customStyle="1" w:styleId="SubtitleChar">
    <w:name w:val="Subtitle Char"/>
    <w:basedOn w:val="DefaultParagraphFont"/>
    <w:link w:val="Subtitle"/>
    <w:uiPriority w:val="11"/>
    <w:rsid w:val="009661F4"/>
    <w:rPr>
      <w:rFonts w:ascii="VIC Light" w:eastAsia="Times New Roman" w:hAnsi="VIC Light" w:cs="Times New Roman"/>
      <w:sz w:val="48"/>
      <w:szCs w:val="20"/>
    </w:rPr>
  </w:style>
  <w:style w:type="paragraph" w:styleId="ListBullet2">
    <w:name w:val="List Bullet 2"/>
    <w:basedOn w:val="Normal"/>
    <w:uiPriority w:val="99"/>
    <w:unhideWhenUsed/>
    <w:rsid w:val="001575E7"/>
    <w:pPr>
      <w:numPr>
        <w:numId w:val="3"/>
      </w:numPr>
      <w:spacing w:before="0" w:after="120"/>
      <w:ind w:left="709" w:hanging="284"/>
    </w:pPr>
  </w:style>
  <w:style w:type="character" w:styleId="Strong">
    <w:name w:val="Strong"/>
    <w:basedOn w:val="DefaultParagraphFont"/>
    <w:uiPriority w:val="22"/>
    <w:qFormat/>
    <w:rsid w:val="00CA59D5"/>
    <w:rPr>
      <w:rFonts w:ascii="VIC" w:hAnsi="VIC"/>
      <w:b/>
      <w:bCs/>
    </w:rPr>
  </w:style>
  <w:style w:type="character" w:styleId="IntenseEmphasis">
    <w:name w:val="Intense Emphasis"/>
    <w:basedOn w:val="DefaultParagraphFont"/>
    <w:uiPriority w:val="21"/>
    <w:qFormat/>
    <w:locked/>
    <w:rsid w:val="00C74075"/>
    <w:rPr>
      <w:rFonts w:ascii="VIC" w:hAnsi="VIC"/>
      <w:i/>
      <w:iCs/>
      <w:color w:val="E35105" w:themeColor="accent2"/>
    </w:rPr>
  </w:style>
  <w:style w:type="paragraph" w:styleId="TOC5">
    <w:name w:val="toc 5"/>
    <w:basedOn w:val="Normal"/>
    <w:next w:val="Normal"/>
    <w:autoRedefine/>
    <w:uiPriority w:val="39"/>
    <w:semiHidden/>
    <w:unhideWhenUsed/>
    <w:locked/>
    <w:rsid w:val="00A17119"/>
    <w:pPr>
      <w:tabs>
        <w:tab w:val="left" w:leader="dot" w:pos="14175"/>
      </w:tabs>
      <w:spacing w:after="100"/>
      <w:ind w:left="720"/>
    </w:pPr>
  </w:style>
  <w:style w:type="paragraph" w:styleId="TOC6">
    <w:name w:val="toc 6"/>
    <w:basedOn w:val="Normal"/>
    <w:next w:val="Normal"/>
    <w:autoRedefine/>
    <w:uiPriority w:val="39"/>
    <w:semiHidden/>
    <w:unhideWhenUsed/>
    <w:locked/>
    <w:rsid w:val="00A17119"/>
    <w:pPr>
      <w:tabs>
        <w:tab w:val="left" w:leader="dot" w:pos="14175"/>
      </w:tabs>
      <w:spacing w:after="100"/>
      <w:ind w:left="900"/>
    </w:pPr>
  </w:style>
  <w:style w:type="paragraph" w:styleId="TOC7">
    <w:name w:val="toc 7"/>
    <w:basedOn w:val="Normal"/>
    <w:next w:val="Normal"/>
    <w:autoRedefine/>
    <w:uiPriority w:val="39"/>
    <w:semiHidden/>
    <w:unhideWhenUsed/>
    <w:locked/>
    <w:rsid w:val="00A17119"/>
    <w:pPr>
      <w:tabs>
        <w:tab w:val="left" w:leader="dot" w:pos="14175"/>
      </w:tabs>
      <w:spacing w:after="100"/>
      <w:ind w:left="1080"/>
    </w:pPr>
  </w:style>
  <w:style w:type="paragraph" w:styleId="TOC8">
    <w:name w:val="toc 8"/>
    <w:basedOn w:val="Normal"/>
    <w:next w:val="Normal"/>
    <w:autoRedefine/>
    <w:uiPriority w:val="39"/>
    <w:semiHidden/>
    <w:unhideWhenUsed/>
    <w:locked/>
    <w:rsid w:val="00A17119"/>
    <w:pPr>
      <w:tabs>
        <w:tab w:val="left" w:leader="dot" w:pos="14175"/>
      </w:tabs>
      <w:spacing w:after="100"/>
      <w:ind w:left="1260"/>
    </w:pPr>
  </w:style>
  <w:style w:type="paragraph" w:styleId="TOC9">
    <w:name w:val="toc 9"/>
    <w:basedOn w:val="Normal"/>
    <w:next w:val="Normal"/>
    <w:autoRedefine/>
    <w:uiPriority w:val="39"/>
    <w:semiHidden/>
    <w:unhideWhenUsed/>
    <w:locked/>
    <w:rsid w:val="00A17119"/>
    <w:pPr>
      <w:tabs>
        <w:tab w:val="left" w:leader="dot" w:pos="14175"/>
      </w:tabs>
      <w:spacing w:after="100"/>
      <w:ind w:left="1440"/>
    </w:pPr>
  </w:style>
  <w:style w:type="paragraph" w:customStyle="1" w:styleId="iinstructions">
    <w:name w:val="# iinstructions"/>
    <w:basedOn w:val="Normal"/>
    <w:link w:val="iinstructionsChar"/>
    <w:qFormat/>
    <w:locked/>
    <w:rsid w:val="00854053"/>
    <w:pPr>
      <w:spacing w:before="60" w:after="120"/>
    </w:pPr>
    <w:rPr>
      <w:color w:val="auto"/>
    </w:rPr>
  </w:style>
  <w:style w:type="character" w:customStyle="1" w:styleId="iinstructionsChar">
    <w:name w:val="# iinstructions Char"/>
    <w:basedOn w:val="DefaultParagraphFont"/>
    <w:link w:val="iinstructions"/>
    <w:rsid w:val="00854053"/>
    <w:rPr>
      <w:rFonts w:ascii="Arial" w:eastAsia="Times New Roman" w:hAnsi="Arial" w:cs="Times New Roman"/>
      <w:sz w:val="18"/>
      <w:szCs w:val="20"/>
    </w:rPr>
  </w:style>
  <w:style w:type="character" w:styleId="PlaceholderText">
    <w:name w:val="Placeholder Text"/>
    <w:basedOn w:val="DefaultParagraphFont"/>
    <w:uiPriority w:val="99"/>
    <w:semiHidden/>
    <w:locked/>
    <w:rsid w:val="003B093E"/>
    <w:rPr>
      <w:rFonts w:ascii="VIC" w:hAnsi="VIC"/>
      <w:color w:val="808080"/>
    </w:rPr>
  </w:style>
  <w:style w:type="paragraph" w:customStyle="1" w:styleId="Reporttitle">
    <w:name w:val="Report title"/>
    <w:basedOn w:val="Normal"/>
    <w:qFormat/>
    <w:rsid w:val="009661F4"/>
    <w:pPr>
      <w:spacing w:before="180" w:line="1440" w:lineRule="exact"/>
    </w:pPr>
    <w:rPr>
      <w:b/>
      <w:bCs/>
      <w:color w:val="FFFFFF" w:themeColor="background1"/>
      <w:sz w:val="144"/>
    </w:rPr>
  </w:style>
  <w:style w:type="paragraph" w:customStyle="1" w:styleId="Tabletitle">
    <w:name w:val="Table title"/>
    <w:basedOn w:val="Normal"/>
    <w:qFormat/>
    <w:rsid w:val="00C53952"/>
    <w:pPr>
      <w:spacing w:before="60" w:after="60"/>
    </w:pPr>
    <w:rPr>
      <w:b/>
      <w:color w:val="auto"/>
    </w:rPr>
  </w:style>
  <w:style w:type="paragraph" w:customStyle="1" w:styleId="Tabletext">
    <w:name w:val="Table text"/>
    <w:basedOn w:val="Normal"/>
    <w:qFormat/>
    <w:rsid w:val="001575E7"/>
    <w:pPr>
      <w:spacing w:before="60" w:after="60"/>
    </w:pPr>
  </w:style>
  <w:style w:type="paragraph" w:customStyle="1" w:styleId="ListBulletLast">
    <w:name w:val="List Bullet Last"/>
    <w:basedOn w:val="Normal"/>
    <w:qFormat/>
    <w:rsid w:val="00CA5DD0"/>
    <w:pPr>
      <w:numPr>
        <w:numId w:val="1"/>
      </w:numPr>
      <w:spacing w:before="0"/>
      <w:ind w:left="357" w:hanging="357"/>
    </w:pPr>
  </w:style>
  <w:style w:type="paragraph" w:customStyle="1" w:styleId="ListBullet1">
    <w:name w:val="List Bullet 1"/>
    <w:basedOn w:val="Normal"/>
    <w:qFormat/>
    <w:rsid w:val="00C53952"/>
    <w:pPr>
      <w:numPr>
        <w:numId w:val="4"/>
      </w:numPr>
      <w:spacing w:before="0" w:after="120"/>
      <w:ind w:left="360"/>
    </w:pPr>
  </w:style>
  <w:style w:type="paragraph" w:customStyle="1" w:styleId="instructions">
    <w:name w:val="# instructions"/>
    <w:basedOn w:val="Normal"/>
    <w:link w:val="instructionsChar"/>
    <w:qFormat/>
    <w:rsid w:val="002A3747"/>
    <w:pPr>
      <w:spacing w:before="60" w:after="120"/>
    </w:pPr>
    <w:rPr>
      <w:color w:val="auto"/>
      <w:sz w:val="16"/>
    </w:rPr>
  </w:style>
  <w:style w:type="character" w:customStyle="1" w:styleId="instructionsChar">
    <w:name w:val="# instructions Char"/>
    <w:basedOn w:val="DefaultParagraphFont"/>
    <w:link w:val="instructions"/>
    <w:rsid w:val="002A3747"/>
    <w:rPr>
      <w:rFonts w:ascii="VIC" w:eastAsia="Times New Roman" w:hAnsi="VIC" w:cs="Times New Roman"/>
      <w:sz w:val="16"/>
      <w:szCs w:val="20"/>
    </w:rPr>
  </w:style>
  <w:style w:type="paragraph" w:customStyle="1" w:styleId="Bodybullet">
    <w:name w:val="Body bullet"/>
    <w:basedOn w:val="Normal"/>
    <w:rsid w:val="002A3747"/>
    <w:pPr>
      <w:spacing w:before="0" w:after="0"/>
      <w:ind w:left="720" w:hanging="360"/>
    </w:pPr>
    <w:rPr>
      <w:rFonts w:eastAsiaTheme="minorHAnsi" w:cs="ArialMT"/>
      <w:color w:val="53565A"/>
      <w:szCs w:val="18"/>
      <w:lang w:val="en-US"/>
    </w:rPr>
  </w:style>
  <w:style w:type="paragraph" w:styleId="Title">
    <w:name w:val="Title"/>
    <w:basedOn w:val="Normal"/>
    <w:next w:val="Normal"/>
    <w:link w:val="TitleChar"/>
    <w:uiPriority w:val="10"/>
    <w:qFormat/>
    <w:rsid w:val="00AE3263"/>
    <w:pPr>
      <w:spacing w:before="0" w:line="420" w:lineRule="exact"/>
    </w:pPr>
    <w:rPr>
      <w:rFonts w:ascii="Arial" w:hAnsi="Arial"/>
      <w:noProof/>
      <w:color w:val="FFFFFF"/>
      <w:sz w:val="44"/>
      <w:lang w:val="en-GB" w:eastAsia="en-GB"/>
    </w:rPr>
  </w:style>
  <w:style w:type="character" w:customStyle="1" w:styleId="TitleChar">
    <w:name w:val="Title Char"/>
    <w:basedOn w:val="DefaultParagraphFont"/>
    <w:link w:val="Title"/>
    <w:uiPriority w:val="10"/>
    <w:rsid w:val="00AE3263"/>
    <w:rPr>
      <w:rFonts w:ascii="Arial" w:eastAsia="Times New Roman" w:hAnsi="Arial" w:cs="Times New Roman"/>
      <w:noProof/>
      <w:color w:val="FFFFFF"/>
      <w:sz w:val="44"/>
      <w:szCs w:val="20"/>
      <w:lang w:val="en-GB" w:eastAsia="en-GB"/>
    </w:rPr>
  </w:style>
  <w:style w:type="paragraph" w:customStyle="1" w:styleId="Sectionbreak">
    <w:name w:val="Section break"/>
    <w:basedOn w:val="Heading1"/>
    <w:qFormat/>
    <w:rsid w:val="00D15759"/>
    <w:pPr>
      <w:numPr>
        <w:numId w:val="0"/>
      </w:numPr>
      <w:ind w:left="2268"/>
    </w:pPr>
    <w:rPr>
      <w:szCs w:val="48"/>
    </w:rPr>
  </w:style>
  <w:style w:type="paragraph" w:customStyle="1" w:styleId="Pagebreak">
    <w:name w:val="Page break"/>
    <w:basedOn w:val="Normal"/>
    <w:qFormat/>
    <w:rsid w:val="00D15759"/>
    <w:pPr>
      <w:keepNext/>
      <w:pageBreakBefore/>
    </w:pPr>
  </w:style>
  <w:style w:type="paragraph" w:customStyle="1" w:styleId="instructions0">
    <w:name w:val="instructions"/>
    <w:basedOn w:val="Normal"/>
    <w:link w:val="instructionsChar0"/>
    <w:qFormat/>
    <w:rsid w:val="00360263"/>
    <w:pPr>
      <w:spacing w:before="60" w:after="120"/>
    </w:pPr>
    <w:rPr>
      <w:rFonts w:ascii="Arial" w:hAnsi="Arial"/>
      <w:color w:val="E35105" w:themeColor="accent2"/>
    </w:rPr>
  </w:style>
  <w:style w:type="character" w:customStyle="1" w:styleId="instructionsChar0">
    <w:name w:val="instructions Char"/>
    <w:basedOn w:val="DefaultParagraphFont"/>
    <w:link w:val="instructions0"/>
    <w:rsid w:val="00360263"/>
    <w:rPr>
      <w:rFonts w:ascii="Arial" w:eastAsia="Times New Roman" w:hAnsi="Arial" w:cs="Times New Roman"/>
      <w:color w:val="E35105" w:themeColor="accent2"/>
      <w:sz w:val="18"/>
      <w:szCs w:val="20"/>
    </w:rPr>
  </w:style>
  <w:style w:type="paragraph" w:styleId="ListParagraph">
    <w:name w:val="List Paragraph"/>
    <w:aliases w:val="List Paragraph1,List Paragraph11,NFP GP Bulleted List,Recommendation,DdeM List Paragraph,2. List Bullet 2,L,F5 List Paragraph,Dot pt,CV text,List Paragraph111,Medium Grid 1 - Accent 21,Numbered Paragraph,List Paragraph2,Bulleted Para,CV t"/>
    <w:basedOn w:val="Normal"/>
    <w:link w:val="ListParagraphChar"/>
    <w:uiPriority w:val="34"/>
    <w:qFormat/>
    <w:locked/>
    <w:rsid w:val="006A5D91"/>
    <w:pPr>
      <w:numPr>
        <w:numId w:val="5"/>
      </w:numPr>
      <w:contextualSpacing/>
    </w:pPr>
  </w:style>
  <w:style w:type="table" w:styleId="GridTable4-Accent1">
    <w:name w:val="Grid Table 4 Accent 1"/>
    <w:basedOn w:val="TableNormal"/>
    <w:uiPriority w:val="49"/>
    <w:locked/>
    <w:rsid w:val="00AD2F76"/>
    <w:pPr>
      <w:spacing w:after="0" w:line="240" w:lineRule="auto"/>
    </w:pPr>
    <w:tblPr>
      <w:tblStyleRowBandSize w:val="1"/>
      <w:tblStyleColBandSize w:val="1"/>
      <w:tblBorders>
        <w:top w:val="single" w:sz="4" w:space="0" w:color="FFC476" w:themeColor="accent1" w:themeTint="99"/>
        <w:left w:val="single" w:sz="4" w:space="0" w:color="FFC476" w:themeColor="accent1" w:themeTint="99"/>
        <w:bottom w:val="single" w:sz="4" w:space="0" w:color="FFC476" w:themeColor="accent1" w:themeTint="99"/>
        <w:right w:val="single" w:sz="4" w:space="0" w:color="FFC476" w:themeColor="accent1" w:themeTint="99"/>
        <w:insideH w:val="single" w:sz="4" w:space="0" w:color="FFC476" w:themeColor="accent1" w:themeTint="99"/>
        <w:insideV w:val="single" w:sz="4" w:space="0" w:color="FFC476" w:themeColor="accent1" w:themeTint="99"/>
      </w:tblBorders>
    </w:tblPr>
    <w:tblStylePr w:type="firstRow">
      <w:rPr>
        <w:b/>
        <w:bCs/>
        <w:color w:val="FFFFFF" w:themeColor="background1"/>
      </w:rPr>
      <w:tblPr/>
      <w:tcPr>
        <w:tcBorders>
          <w:top w:val="single" w:sz="4" w:space="0" w:color="FF9E1B" w:themeColor="accent1"/>
          <w:left w:val="single" w:sz="4" w:space="0" w:color="FF9E1B" w:themeColor="accent1"/>
          <w:bottom w:val="single" w:sz="4" w:space="0" w:color="FF9E1B" w:themeColor="accent1"/>
          <w:right w:val="single" w:sz="4" w:space="0" w:color="FF9E1B" w:themeColor="accent1"/>
          <w:insideH w:val="nil"/>
          <w:insideV w:val="nil"/>
        </w:tcBorders>
        <w:shd w:val="clear" w:color="auto" w:fill="FF9E1B" w:themeFill="accent1"/>
      </w:tcPr>
    </w:tblStylePr>
    <w:tblStylePr w:type="lastRow">
      <w:rPr>
        <w:b/>
        <w:bCs/>
      </w:rPr>
      <w:tblPr/>
      <w:tcPr>
        <w:tcBorders>
          <w:top w:val="double" w:sz="4" w:space="0" w:color="FF9E1B" w:themeColor="accent1"/>
        </w:tcBorders>
      </w:tcPr>
    </w:tblStylePr>
    <w:tblStylePr w:type="firstCol">
      <w:rPr>
        <w:b/>
        <w:bCs/>
      </w:rPr>
    </w:tblStylePr>
    <w:tblStylePr w:type="lastCol">
      <w:rPr>
        <w:b/>
        <w:bCs/>
      </w:rPr>
    </w:tblStylePr>
    <w:tblStylePr w:type="band1Vert">
      <w:tblPr/>
      <w:tcPr>
        <w:shd w:val="clear" w:color="auto" w:fill="FFEBD1" w:themeFill="accent1" w:themeFillTint="33"/>
      </w:tcPr>
    </w:tblStylePr>
    <w:tblStylePr w:type="band1Horz">
      <w:tblPr/>
      <w:tcPr>
        <w:shd w:val="clear" w:color="auto" w:fill="FFEBD1" w:themeFill="accent1" w:themeFillTint="33"/>
      </w:tcPr>
    </w:tblStylePr>
  </w:style>
  <w:style w:type="paragraph" w:customStyle="1" w:styleId="Normalnospace">
    <w:name w:val="Normal (no space)"/>
    <w:basedOn w:val="Normal"/>
    <w:qFormat/>
    <w:rsid w:val="00970877"/>
    <w:pPr>
      <w:spacing w:before="0" w:after="120" w:line="264" w:lineRule="auto"/>
    </w:pPr>
    <w:rPr>
      <w:rFonts w:ascii="Arial" w:hAnsi="Arial" w:cs="Arial"/>
      <w:color w:val="auto"/>
      <w:sz w:val="20"/>
      <w:lang w:eastAsia="en-AU"/>
    </w:rPr>
  </w:style>
  <w:style w:type="character" w:styleId="CommentReference">
    <w:name w:val="annotation reference"/>
    <w:basedOn w:val="DefaultParagraphFont"/>
    <w:uiPriority w:val="99"/>
    <w:semiHidden/>
    <w:unhideWhenUsed/>
    <w:locked/>
    <w:rsid w:val="00970877"/>
    <w:rPr>
      <w:sz w:val="16"/>
      <w:szCs w:val="16"/>
    </w:rPr>
  </w:style>
  <w:style w:type="paragraph" w:styleId="CommentText">
    <w:name w:val="annotation text"/>
    <w:basedOn w:val="Normal"/>
    <w:link w:val="CommentTextChar"/>
    <w:uiPriority w:val="99"/>
    <w:unhideWhenUsed/>
    <w:locked/>
    <w:rsid w:val="00970877"/>
    <w:pPr>
      <w:spacing w:before="0" w:after="120"/>
    </w:pPr>
    <w:rPr>
      <w:rFonts w:ascii="Arial" w:hAnsi="Arial" w:cs="Arial"/>
      <w:color w:val="auto"/>
      <w:sz w:val="20"/>
      <w:lang w:eastAsia="en-AU"/>
    </w:rPr>
  </w:style>
  <w:style w:type="character" w:customStyle="1" w:styleId="CommentTextChar">
    <w:name w:val="Comment Text Char"/>
    <w:basedOn w:val="DefaultParagraphFont"/>
    <w:link w:val="CommentText"/>
    <w:uiPriority w:val="99"/>
    <w:rsid w:val="00970877"/>
    <w:rPr>
      <w:rFonts w:ascii="Arial" w:eastAsia="Times New Roman" w:hAnsi="Arial" w:cs="Arial"/>
      <w:sz w:val="20"/>
      <w:szCs w:val="20"/>
      <w:lang w:eastAsia="en-AU"/>
    </w:rPr>
  </w:style>
  <w:style w:type="character" w:customStyle="1" w:styleId="ListParagraphChar">
    <w:name w:val="List Paragraph Char"/>
    <w:aliases w:val="List Paragraph1 Char,List Paragraph11 Char,NFP GP Bulleted List Char,Recommendation Char,DdeM List Paragraph Char,2. List Bullet 2 Char,L Char,F5 List Paragraph Char,Dot pt Char,CV text Char,List Paragraph111 Char,Bulleted Para Char"/>
    <w:link w:val="ListParagraph"/>
    <w:uiPriority w:val="34"/>
    <w:qFormat/>
    <w:rsid w:val="00970877"/>
    <w:rPr>
      <w:rFonts w:ascii="VIC" w:eastAsia="Times New Roman" w:hAnsi="VIC" w:cs="Times New Roman"/>
      <w:color w:val="404040" w:themeColor="text1" w:themeTint="BF"/>
      <w:sz w:val="18"/>
      <w:szCs w:val="20"/>
    </w:rPr>
  </w:style>
  <w:style w:type="paragraph" w:styleId="NoSpacing">
    <w:name w:val="No Spacing"/>
    <w:aliases w:val="Drafting notes"/>
    <w:link w:val="NoSpacingChar"/>
    <w:uiPriority w:val="1"/>
    <w:qFormat/>
    <w:locked/>
    <w:rsid w:val="002A61EE"/>
    <w:pPr>
      <w:spacing w:after="120" w:line="240" w:lineRule="auto"/>
    </w:pPr>
    <w:rPr>
      <w:rFonts w:ascii="Arial" w:eastAsia="Times New Roman" w:hAnsi="Arial" w:cs="Arial"/>
      <w:i/>
      <w:iCs/>
      <w:color w:val="D81255" w:themeColor="accent6" w:themeShade="BF"/>
      <w:sz w:val="20"/>
      <w:szCs w:val="20"/>
      <w:lang w:eastAsia="en-AU"/>
    </w:rPr>
  </w:style>
  <w:style w:type="character" w:customStyle="1" w:styleId="NoSpacingChar">
    <w:name w:val="No Spacing Char"/>
    <w:aliases w:val="Drafting notes Char"/>
    <w:basedOn w:val="DefaultParagraphFont"/>
    <w:link w:val="NoSpacing"/>
    <w:uiPriority w:val="1"/>
    <w:rsid w:val="002A61EE"/>
    <w:rPr>
      <w:rFonts w:ascii="Arial" w:eastAsia="Times New Roman" w:hAnsi="Arial" w:cs="Arial"/>
      <w:i/>
      <w:iCs/>
      <w:color w:val="D81255" w:themeColor="accent6" w:themeShade="BF"/>
      <w:sz w:val="20"/>
      <w:szCs w:val="20"/>
      <w:lang w:eastAsia="en-AU"/>
    </w:rPr>
  </w:style>
  <w:style w:type="paragraph" w:customStyle="1" w:styleId="dotpoint">
    <w:name w:val="dot point"/>
    <w:basedOn w:val="Normalnospace"/>
    <w:qFormat/>
    <w:rsid w:val="00922240"/>
    <w:pPr>
      <w:numPr>
        <w:numId w:val="8"/>
      </w:numPr>
      <w:spacing w:after="60"/>
    </w:pPr>
  </w:style>
  <w:style w:type="paragraph" w:customStyle="1" w:styleId="Default">
    <w:name w:val="Default"/>
    <w:rsid w:val="00EA225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CommentSubject">
    <w:name w:val="annotation subject"/>
    <w:basedOn w:val="CommentText"/>
    <w:next w:val="CommentText"/>
    <w:link w:val="CommentSubjectChar"/>
    <w:uiPriority w:val="99"/>
    <w:semiHidden/>
    <w:unhideWhenUsed/>
    <w:locked/>
    <w:rsid w:val="009A6034"/>
    <w:pPr>
      <w:spacing w:before="120" w:after="200"/>
    </w:pPr>
    <w:rPr>
      <w:rFonts w:ascii="VIC" w:hAnsi="VIC" w:cs="Times New Roman"/>
      <w:b/>
      <w:bCs/>
      <w:color w:val="404040" w:themeColor="text1" w:themeTint="BF"/>
      <w:lang w:eastAsia="en-US"/>
    </w:rPr>
  </w:style>
  <w:style w:type="character" w:customStyle="1" w:styleId="CommentSubjectChar">
    <w:name w:val="Comment Subject Char"/>
    <w:basedOn w:val="CommentTextChar"/>
    <w:link w:val="CommentSubject"/>
    <w:uiPriority w:val="99"/>
    <w:semiHidden/>
    <w:rsid w:val="009A6034"/>
    <w:rPr>
      <w:rFonts w:ascii="VIC" w:eastAsia="Times New Roman" w:hAnsi="VIC" w:cs="Times New Roman"/>
      <w:b/>
      <w:bCs/>
      <w:color w:val="404040" w:themeColor="text1" w:themeTint="BF"/>
      <w:sz w:val="20"/>
      <w:szCs w:val="20"/>
      <w:lang w:eastAsia="en-AU"/>
    </w:rPr>
  </w:style>
  <w:style w:type="paragraph" w:styleId="NormalWeb">
    <w:name w:val="Normal (Web)"/>
    <w:basedOn w:val="Normal"/>
    <w:uiPriority w:val="99"/>
    <w:semiHidden/>
    <w:unhideWhenUsed/>
    <w:locked/>
    <w:rsid w:val="00C07F23"/>
    <w:pPr>
      <w:spacing w:before="100" w:beforeAutospacing="1" w:after="100" w:afterAutospacing="1"/>
    </w:pPr>
    <w:rPr>
      <w:rFonts w:ascii="Times New Roman" w:hAnsi="Times New Roman"/>
      <w:color w:val="auto"/>
      <w:sz w:val="24"/>
      <w:szCs w:val="24"/>
      <w:lang w:eastAsia="en-AU"/>
    </w:rPr>
  </w:style>
  <w:style w:type="character" w:styleId="UnresolvedMention">
    <w:name w:val="Unresolved Mention"/>
    <w:basedOn w:val="DefaultParagraphFont"/>
    <w:uiPriority w:val="99"/>
    <w:locked/>
    <w:rsid w:val="004072DC"/>
    <w:rPr>
      <w:color w:val="605E5C"/>
      <w:shd w:val="clear" w:color="auto" w:fill="E1DFDD"/>
    </w:rPr>
  </w:style>
  <w:style w:type="paragraph" w:styleId="FootnoteText">
    <w:name w:val="footnote text"/>
    <w:basedOn w:val="Normal"/>
    <w:link w:val="FootnoteTextChar"/>
    <w:uiPriority w:val="99"/>
    <w:semiHidden/>
    <w:unhideWhenUsed/>
    <w:locked/>
    <w:rsid w:val="009E5A50"/>
    <w:pPr>
      <w:spacing w:before="0" w:after="0"/>
    </w:pPr>
    <w:rPr>
      <w:sz w:val="20"/>
    </w:rPr>
  </w:style>
  <w:style w:type="character" w:customStyle="1" w:styleId="FootnoteTextChar">
    <w:name w:val="Footnote Text Char"/>
    <w:basedOn w:val="DefaultParagraphFont"/>
    <w:link w:val="FootnoteText"/>
    <w:uiPriority w:val="99"/>
    <w:semiHidden/>
    <w:rsid w:val="009E5A50"/>
    <w:rPr>
      <w:rFonts w:ascii="VIC" w:eastAsia="Times New Roman" w:hAnsi="VIC" w:cs="Times New Roman"/>
      <w:color w:val="404040" w:themeColor="text1" w:themeTint="BF"/>
      <w:sz w:val="20"/>
      <w:szCs w:val="20"/>
    </w:rPr>
  </w:style>
  <w:style w:type="character" w:styleId="FootnoteReference">
    <w:name w:val="footnote reference"/>
    <w:basedOn w:val="DefaultParagraphFont"/>
    <w:uiPriority w:val="99"/>
    <w:semiHidden/>
    <w:unhideWhenUsed/>
    <w:locked/>
    <w:rsid w:val="009E5A50"/>
    <w:rPr>
      <w:vertAlign w:val="superscript"/>
    </w:rPr>
  </w:style>
  <w:style w:type="paragraph" w:styleId="Revision">
    <w:name w:val="Revision"/>
    <w:hidden/>
    <w:uiPriority w:val="99"/>
    <w:semiHidden/>
    <w:rsid w:val="006958B1"/>
    <w:pPr>
      <w:spacing w:after="0" w:line="240" w:lineRule="auto"/>
    </w:pPr>
    <w:rPr>
      <w:rFonts w:ascii="VIC" w:eastAsia="Times New Roman" w:hAnsi="VIC" w:cs="Times New Roman"/>
      <w:color w:val="404040" w:themeColor="text1" w:themeTint="BF"/>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0213">
      <w:bodyDiv w:val="1"/>
      <w:marLeft w:val="0"/>
      <w:marRight w:val="0"/>
      <w:marTop w:val="0"/>
      <w:marBottom w:val="0"/>
      <w:divBdr>
        <w:top w:val="none" w:sz="0" w:space="0" w:color="auto"/>
        <w:left w:val="none" w:sz="0" w:space="0" w:color="auto"/>
        <w:bottom w:val="none" w:sz="0" w:space="0" w:color="auto"/>
        <w:right w:val="none" w:sz="0" w:space="0" w:color="auto"/>
      </w:divBdr>
    </w:div>
    <w:div w:id="279994489">
      <w:bodyDiv w:val="1"/>
      <w:marLeft w:val="0"/>
      <w:marRight w:val="0"/>
      <w:marTop w:val="0"/>
      <w:marBottom w:val="0"/>
      <w:divBdr>
        <w:top w:val="none" w:sz="0" w:space="0" w:color="auto"/>
        <w:left w:val="none" w:sz="0" w:space="0" w:color="auto"/>
        <w:bottom w:val="none" w:sz="0" w:space="0" w:color="auto"/>
        <w:right w:val="none" w:sz="0" w:space="0" w:color="auto"/>
      </w:divBdr>
    </w:div>
    <w:div w:id="460534197">
      <w:bodyDiv w:val="1"/>
      <w:marLeft w:val="0"/>
      <w:marRight w:val="0"/>
      <w:marTop w:val="0"/>
      <w:marBottom w:val="0"/>
      <w:divBdr>
        <w:top w:val="none" w:sz="0" w:space="0" w:color="auto"/>
        <w:left w:val="none" w:sz="0" w:space="0" w:color="auto"/>
        <w:bottom w:val="none" w:sz="0" w:space="0" w:color="auto"/>
        <w:right w:val="none" w:sz="0" w:space="0" w:color="auto"/>
      </w:divBdr>
    </w:div>
    <w:div w:id="743144770">
      <w:bodyDiv w:val="1"/>
      <w:marLeft w:val="0"/>
      <w:marRight w:val="0"/>
      <w:marTop w:val="0"/>
      <w:marBottom w:val="0"/>
      <w:divBdr>
        <w:top w:val="none" w:sz="0" w:space="0" w:color="auto"/>
        <w:left w:val="none" w:sz="0" w:space="0" w:color="auto"/>
        <w:bottom w:val="none" w:sz="0" w:space="0" w:color="auto"/>
        <w:right w:val="none" w:sz="0" w:space="0" w:color="auto"/>
      </w:divBdr>
    </w:div>
    <w:div w:id="852886439">
      <w:bodyDiv w:val="1"/>
      <w:marLeft w:val="0"/>
      <w:marRight w:val="0"/>
      <w:marTop w:val="0"/>
      <w:marBottom w:val="0"/>
      <w:divBdr>
        <w:top w:val="none" w:sz="0" w:space="0" w:color="auto"/>
        <w:left w:val="none" w:sz="0" w:space="0" w:color="auto"/>
        <w:bottom w:val="none" w:sz="0" w:space="0" w:color="auto"/>
        <w:right w:val="none" w:sz="0" w:space="0" w:color="auto"/>
      </w:divBdr>
    </w:div>
    <w:div w:id="908416524">
      <w:bodyDiv w:val="1"/>
      <w:marLeft w:val="0"/>
      <w:marRight w:val="0"/>
      <w:marTop w:val="0"/>
      <w:marBottom w:val="0"/>
      <w:divBdr>
        <w:top w:val="none" w:sz="0" w:space="0" w:color="auto"/>
        <w:left w:val="none" w:sz="0" w:space="0" w:color="auto"/>
        <w:bottom w:val="none" w:sz="0" w:space="0" w:color="auto"/>
        <w:right w:val="none" w:sz="0" w:space="0" w:color="auto"/>
      </w:divBdr>
    </w:div>
    <w:div w:id="1124346111">
      <w:bodyDiv w:val="1"/>
      <w:marLeft w:val="0"/>
      <w:marRight w:val="0"/>
      <w:marTop w:val="0"/>
      <w:marBottom w:val="0"/>
      <w:divBdr>
        <w:top w:val="none" w:sz="0" w:space="0" w:color="auto"/>
        <w:left w:val="none" w:sz="0" w:space="0" w:color="auto"/>
        <w:bottom w:val="none" w:sz="0" w:space="0" w:color="auto"/>
        <w:right w:val="none" w:sz="0" w:space="0" w:color="auto"/>
      </w:divBdr>
    </w:div>
    <w:div w:id="1159271976">
      <w:bodyDiv w:val="1"/>
      <w:marLeft w:val="0"/>
      <w:marRight w:val="0"/>
      <w:marTop w:val="0"/>
      <w:marBottom w:val="0"/>
      <w:divBdr>
        <w:top w:val="none" w:sz="0" w:space="0" w:color="auto"/>
        <w:left w:val="none" w:sz="0" w:space="0" w:color="auto"/>
        <w:bottom w:val="none" w:sz="0" w:space="0" w:color="auto"/>
        <w:right w:val="none" w:sz="0" w:space="0" w:color="auto"/>
      </w:divBdr>
    </w:div>
    <w:div w:id="1283346687">
      <w:bodyDiv w:val="1"/>
      <w:marLeft w:val="0"/>
      <w:marRight w:val="0"/>
      <w:marTop w:val="0"/>
      <w:marBottom w:val="0"/>
      <w:divBdr>
        <w:top w:val="none" w:sz="0" w:space="0" w:color="auto"/>
        <w:left w:val="none" w:sz="0" w:space="0" w:color="auto"/>
        <w:bottom w:val="none" w:sz="0" w:space="0" w:color="auto"/>
        <w:right w:val="none" w:sz="0" w:space="0" w:color="auto"/>
      </w:divBdr>
    </w:div>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479420230">
      <w:bodyDiv w:val="1"/>
      <w:marLeft w:val="0"/>
      <w:marRight w:val="0"/>
      <w:marTop w:val="0"/>
      <w:marBottom w:val="0"/>
      <w:divBdr>
        <w:top w:val="none" w:sz="0" w:space="0" w:color="auto"/>
        <w:left w:val="none" w:sz="0" w:space="0" w:color="auto"/>
        <w:bottom w:val="none" w:sz="0" w:space="0" w:color="auto"/>
        <w:right w:val="none" w:sz="0" w:space="0" w:color="auto"/>
      </w:divBdr>
    </w:div>
    <w:div w:id="1490827051">
      <w:bodyDiv w:val="1"/>
      <w:marLeft w:val="0"/>
      <w:marRight w:val="0"/>
      <w:marTop w:val="0"/>
      <w:marBottom w:val="0"/>
      <w:divBdr>
        <w:top w:val="none" w:sz="0" w:space="0" w:color="auto"/>
        <w:left w:val="none" w:sz="0" w:space="0" w:color="auto"/>
        <w:bottom w:val="none" w:sz="0" w:space="0" w:color="auto"/>
        <w:right w:val="none" w:sz="0" w:space="0" w:color="auto"/>
      </w:divBdr>
    </w:div>
    <w:div w:id="1508665748">
      <w:bodyDiv w:val="1"/>
      <w:marLeft w:val="0"/>
      <w:marRight w:val="0"/>
      <w:marTop w:val="0"/>
      <w:marBottom w:val="0"/>
      <w:divBdr>
        <w:top w:val="none" w:sz="0" w:space="0" w:color="auto"/>
        <w:left w:val="none" w:sz="0" w:space="0" w:color="auto"/>
        <w:bottom w:val="none" w:sz="0" w:space="0" w:color="auto"/>
        <w:right w:val="none" w:sz="0" w:space="0" w:color="auto"/>
      </w:divBdr>
    </w:div>
    <w:div w:id="1524705315">
      <w:bodyDiv w:val="1"/>
      <w:marLeft w:val="0"/>
      <w:marRight w:val="0"/>
      <w:marTop w:val="0"/>
      <w:marBottom w:val="0"/>
      <w:divBdr>
        <w:top w:val="none" w:sz="0" w:space="0" w:color="auto"/>
        <w:left w:val="none" w:sz="0" w:space="0" w:color="auto"/>
        <w:bottom w:val="none" w:sz="0" w:space="0" w:color="auto"/>
        <w:right w:val="none" w:sz="0" w:space="0" w:color="auto"/>
      </w:divBdr>
    </w:div>
    <w:div w:id="1605308840">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SMEprogram@ecodev.vic.gov.au%20"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SMEprogram@ecodev.vic.gov.au" TargetMode="External"/><Relationship Id="rId2" Type="http://schemas.openxmlformats.org/officeDocument/2006/relationships/customXml" Target="../customXml/item2.xml"/><Relationship Id="rId16" Type="http://schemas.openxmlformats.org/officeDocument/2006/relationships/hyperlink" Target="mailto:privacy@ecodev.vic.gov.a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business.vic.gov.au/contact-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78is\OneDrive%20-%20VicGov\SME%20Grant%20Program\TEPI%20Report%20Template.dotx" TargetMode="External"/></Relationships>
</file>

<file path=word/theme/theme1.xml><?xml version="1.0" encoding="utf-8"?>
<a:theme xmlns:a="http://schemas.openxmlformats.org/drawingml/2006/main" name="Office Theme">
  <a:themeElements>
    <a:clrScheme name="TEVE 1">
      <a:dk1>
        <a:srgbClr val="000000"/>
      </a:dk1>
      <a:lt1>
        <a:srgbClr val="FFFFFF"/>
      </a:lt1>
      <a:dk2>
        <a:srgbClr val="201547"/>
      </a:dk2>
      <a:lt2>
        <a:srgbClr val="E6E6E6"/>
      </a:lt2>
      <a:accent1>
        <a:srgbClr val="FF9E1B"/>
      </a:accent1>
      <a:accent2>
        <a:srgbClr val="E35105"/>
      </a:accent2>
      <a:accent3>
        <a:srgbClr val="F36E9B"/>
      </a:accent3>
      <a:accent4>
        <a:srgbClr val="201547"/>
      </a:accent4>
      <a:accent5>
        <a:srgbClr val="919191"/>
      </a:accent5>
      <a:accent6>
        <a:srgbClr val="F04982"/>
      </a:accent6>
      <a:hlink>
        <a:srgbClr val="E35105"/>
      </a:hlink>
      <a:folHlink>
        <a:srgbClr val="FF9E1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D7D363CB03694ABB9EA58E8A44D394" ma:contentTypeVersion="6" ma:contentTypeDescription="Create a new document." ma:contentTypeScope="" ma:versionID="bbdbcf94c05f595e5dba42904304b4b5">
  <xsd:schema xmlns:xsd="http://www.w3.org/2001/XMLSchema" xmlns:xs="http://www.w3.org/2001/XMLSchema" xmlns:p="http://schemas.microsoft.com/office/2006/metadata/properties" xmlns:ns2="b65d746e-1a4f-445a-9a0d-cb183983cb41" xmlns:ns3="9a383187-e83e-4ca4-b08b-3fffb312179e" targetNamespace="http://schemas.microsoft.com/office/2006/metadata/properties" ma:root="true" ma:fieldsID="b0110fcf166f20737a7e713bb048e202" ns2:_="" ns3:_="">
    <xsd:import namespace="b65d746e-1a4f-445a-9a0d-cb183983cb41"/>
    <xsd:import namespace="9a383187-e83e-4ca4-b08b-3fffb31217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d746e-1a4f-445a-9a0d-cb183983c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383187-e83e-4ca4-b08b-3fffb31217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a383187-e83e-4ca4-b08b-3fffb312179e">
      <UserInfo>
        <DisplayName>Mirerva C Holmes (DJSIR)</DisplayName>
        <AccountId>1274</AccountId>
        <AccountType/>
      </UserInfo>
      <UserInfo>
        <DisplayName>Rowan A Enright (DJSIR)</DisplayName>
        <AccountId>1338</AccountId>
        <AccountType/>
      </UserInfo>
      <UserInfo>
        <DisplayName>Stephanie Krezel (DJSIR)</DisplayName>
        <AccountId>651</AccountId>
        <AccountType/>
      </UserInfo>
      <UserInfo>
        <DisplayName>Rosie King (DJSIR)</DisplayName>
        <AccountId>3737</AccountId>
        <AccountType/>
      </UserInfo>
      <UserInfo>
        <DisplayName>Natalie J Phillips (DJSIR)</DisplayName>
        <AccountId>30</AccountId>
        <AccountType/>
      </UserInfo>
      <UserInfo>
        <DisplayName>Ajay Satyan (DJPR)</DisplayName>
        <AccountId>145</AccountId>
        <AccountType/>
      </UserInfo>
      <UserInfo>
        <DisplayName>Kate X Bailey (DJSIR)</DisplayName>
        <AccountId>3011</AccountId>
        <AccountType/>
      </UserInfo>
      <UserInfo>
        <DisplayName>Robert J Cotter (DJSIR)</DisplayName>
        <AccountId>2148</AccountId>
        <AccountType/>
      </UserInfo>
      <UserInfo>
        <DisplayName>Chris F Miller (DJPR)</DisplayName>
        <AccountId>3120</AccountId>
        <AccountType/>
      </UserInfo>
      <UserInfo>
        <DisplayName>Katie P Cullen (DJSIR)</DisplayName>
        <AccountId>3413</AccountId>
        <AccountType/>
      </UserInfo>
      <UserInfo>
        <DisplayName>Elite Aloni (DJSIR)</DisplayName>
        <AccountId>5260</AccountId>
        <AccountType/>
      </UserInfo>
      <UserInfo>
        <DisplayName>Brij Rajvansh (DJSIR)</DisplayName>
        <AccountId>593</AccountId>
        <AccountType/>
      </UserInfo>
      <UserInfo>
        <DisplayName>Harika S Jampana (DJSIR)</DisplayName>
        <AccountId>5437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48DF7E75-5F4A-4CE3-83A0-0DB80E84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d746e-1a4f-445a-9a0d-cb183983cb41"/>
    <ds:schemaRef ds:uri="9a383187-e83e-4ca4-b08b-3fffb3121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F56FE-FF38-478E-8AFF-5058E84F1849}">
  <ds:schemaRefs>
    <ds:schemaRef ds:uri="http://schemas.microsoft.com/office/2006/metadata/properties"/>
    <ds:schemaRef ds:uri="http://schemas.microsoft.com/office/infopath/2007/PartnerControls"/>
    <ds:schemaRef ds:uri="9a383187-e83e-4ca4-b08b-3fffb312179e"/>
  </ds:schemaRefs>
</ds:datastoreItem>
</file>

<file path=customXml/itemProps3.xml><?xml version="1.0" encoding="utf-8"?>
<ds:datastoreItem xmlns:ds="http://schemas.openxmlformats.org/officeDocument/2006/customXml" ds:itemID="{68C422F6-5B58-4BE7-B248-889A347628AF}">
  <ds:schemaRefs>
    <ds:schemaRef ds:uri="http://schemas.microsoft.com/sharepoint/v3/contenttype/forms"/>
  </ds:schemaRefs>
</ds:datastoreItem>
</file>

<file path=customXml/itemProps4.xml><?xml version="1.0" encoding="utf-8"?>
<ds:datastoreItem xmlns:ds="http://schemas.openxmlformats.org/officeDocument/2006/customXml" ds:itemID="{67474CE7-0909-4F11-8AC1-957F19814423}">
  <ds:schemaRefs>
    <ds:schemaRef ds:uri="http://schemas.openxmlformats.org/officeDocument/2006/bibliography"/>
  </ds:schemaRefs>
</ds:datastoreItem>
</file>

<file path=customXml/itemProps5.xml><?xml version="1.0" encoding="utf-8"?>
<ds:datastoreItem xmlns:ds="http://schemas.openxmlformats.org/officeDocument/2006/customXml" ds:itemID="{53E54FE3-583D-4187-97ED-C4F917A7F5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TEPI Report Template.dotx</Template>
  <TotalTime>2</TotalTime>
  <Pages>17</Pages>
  <Words>3727</Words>
  <Characters>21247</Characters>
  <Application>Microsoft Office Word</Application>
  <DocSecurity>0</DocSecurity>
  <Lines>177</Lines>
  <Paragraphs>49</Paragraphs>
  <ScaleCrop>false</ScaleCrop>
  <Company/>
  <LinksUpToDate>false</LinksUpToDate>
  <CharactersWithSpaces>24925</CharactersWithSpaces>
  <SharedDoc>false</SharedDoc>
  <HLinks>
    <vt:vector size="204" baseType="variant">
      <vt:variant>
        <vt:i4>7798908</vt:i4>
      </vt:variant>
      <vt:variant>
        <vt:i4>195</vt:i4>
      </vt:variant>
      <vt:variant>
        <vt:i4>0</vt:i4>
      </vt:variant>
      <vt:variant>
        <vt:i4>5</vt:i4>
      </vt:variant>
      <vt:variant>
        <vt:lpwstr>https://business.vic.gov.au/contact-us</vt:lpwstr>
      </vt:variant>
      <vt:variant>
        <vt:lpwstr/>
      </vt:variant>
      <vt:variant>
        <vt:i4>5505120</vt:i4>
      </vt:variant>
      <vt:variant>
        <vt:i4>192</vt:i4>
      </vt:variant>
      <vt:variant>
        <vt:i4>0</vt:i4>
      </vt:variant>
      <vt:variant>
        <vt:i4>5</vt:i4>
      </vt:variant>
      <vt:variant>
        <vt:lpwstr>mailto:SMEprogram@ecodev.vic.gov.au</vt:lpwstr>
      </vt:variant>
      <vt:variant>
        <vt:lpwstr/>
      </vt:variant>
      <vt:variant>
        <vt:i4>5505120</vt:i4>
      </vt:variant>
      <vt:variant>
        <vt:i4>186</vt:i4>
      </vt:variant>
      <vt:variant>
        <vt:i4>0</vt:i4>
      </vt:variant>
      <vt:variant>
        <vt:i4>5</vt:i4>
      </vt:variant>
      <vt:variant>
        <vt:lpwstr>mailto:SMEprogram@ecodev.vic.gov.au</vt:lpwstr>
      </vt:variant>
      <vt:variant>
        <vt:lpwstr/>
      </vt:variant>
      <vt:variant>
        <vt:i4>5308537</vt:i4>
      </vt:variant>
      <vt:variant>
        <vt:i4>183</vt:i4>
      </vt:variant>
      <vt:variant>
        <vt:i4>0</vt:i4>
      </vt:variant>
      <vt:variant>
        <vt:i4>5</vt:i4>
      </vt:variant>
      <vt:variant>
        <vt:lpwstr>mailto:privacy@ecodev.vic.gov.au</vt:lpwstr>
      </vt:variant>
      <vt:variant>
        <vt:lpwstr/>
      </vt:variant>
      <vt:variant>
        <vt:i4>1114165</vt:i4>
      </vt:variant>
      <vt:variant>
        <vt:i4>176</vt:i4>
      </vt:variant>
      <vt:variant>
        <vt:i4>0</vt:i4>
      </vt:variant>
      <vt:variant>
        <vt:i4>5</vt:i4>
      </vt:variant>
      <vt:variant>
        <vt:lpwstr/>
      </vt:variant>
      <vt:variant>
        <vt:lpwstr>_Toc120113563</vt:lpwstr>
      </vt:variant>
      <vt:variant>
        <vt:i4>1114165</vt:i4>
      </vt:variant>
      <vt:variant>
        <vt:i4>170</vt:i4>
      </vt:variant>
      <vt:variant>
        <vt:i4>0</vt:i4>
      </vt:variant>
      <vt:variant>
        <vt:i4>5</vt:i4>
      </vt:variant>
      <vt:variant>
        <vt:lpwstr/>
      </vt:variant>
      <vt:variant>
        <vt:lpwstr>_Toc120113562</vt:lpwstr>
      </vt:variant>
      <vt:variant>
        <vt:i4>1114165</vt:i4>
      </vt:variant>
      <vt:variant>
        <vt:i4>164</vt:i4>
      </vt:variant>
      <vt:variant>
        <vt:i4>0</vt:i4>
      </vt:variant>
      <vt:variant>
        <vt:i4>5</vt:i4>
      </vt:variant>
      <vt:variant>
        <vt:lpwstr/>
      </vt:variant>
      <vt:variant>
        <vt:lpwstr>_Toc120113561</vt:lpwstr>
      </vt:variant>
      <vt:variant>
        <vt:i4>1114165</vt:i4>
      </vt:variant>
      <vt:variant>
        <vt:i4>158</vt:i4>
      </vt:variant>
      <vt:variant>
        <vt:i4>0</vt:i4>
      </vt:variant>
      <vt:variant>
        <vt:i4>5</vt:i4>
      </vt:variant>
      <vt:variant>
        <vt:lpwstr/>
      </vt:variant>
      <vt:variant>
        <vt:lpwstr>_Toc120113560</vt:lpwstr>
      </vt:variant>
      <vt:variant>
        <vt:i4>1179701</vt:i4>
      </vt:variant>
      <vt:variant>
        <vt:i4>152</vt:i4>
      </vt:variant>
      <vt:variant>
        <vt:i4>0</vt:i4>
      </vt:variant>
      <vt:variant>
        <vt:i4>5</vt:i4>
      </vt:variant>
      <vt:variant>
        <vt:lpwstr/>
      </vt:variant>
      <vt:variant>
        <vt:lpwstr>_Toc120113559</vt:lpwstr>
      </vt:variant>
      <vt:variant>
        <vt:i4>1179701</vt:i4>
      </vt:variant>
      <vt:variant>
        <vt:i4>146</vt:i4>
      </vt:variant>
      <vt:variant>
        <vt:i4>0</vt:i4>
      </vt:variant>
      <vt:variant>
        <vt:i4>5</vt:i4>
      </vt:variant>
      <vt:variant>
        <vt:lpwstr/>
      </vt:variant>
      <vt:variant>
        <vt:lpwstr>_Toc120113558</vt:lpwstr>
      </vt:variant>
      <vt:variant>
        <vt:i4>1179701</vt:i4>
      </vt:variant>
      <vt:variant>
        <vt:i4>140</vt:i4>
      </vt:variant>
      <vt:variant>
        <vt:i4>0</vt:i4>
      </vt:variant>
      <vt:variant>
        <vt:i4>5</vt:i4>
      </vt:variant>
      <vt:variant>
        <vt:lpwstr/>
      </vt:variant>
      <vt:variant>
        <vt:lpwstr>_Toc120113557</vt:lpwstr>
      </vt:variant>
      <vt:variant>
        <vt:i4>1179701</vt:i4>
      </vt:variant>
      <vt:variant>
        <vt:i4>134</vt:i4>
      </vt:variant>
      <vt:variant>
        <vt:i4>0</vt:i4>
      </vt:variant>
      <vt:variant>
        <vt:i4>5</vt:i4>
      </vt:variant>
      <vt:variant>
        <vt:lpwstr/>
      </vt:variant>
      <vt:variant>
        <vt:lpwstr>_Toc120113556</vt:lpwstr>
      </vt:variant>
      <vt:variant>
        <vt:i4>1179701</vt:i4>
      </vt:variant>
      <vt:variant>
        <vt:i4>128</vt:i4>
      </vt:variant>
      <vt:variant>
        <vt:i4>0</vt:i4>
      </vt:variant>
      <vt:variant>
        <vt:i4>5</vt:i4>
      </vt:variant>
      <vt:variant>
        <vt:lpwstr/>
      </vt:variant>
      <vt:variant>
        <vt:lpwstr>_Toc120113555</vt:lpwstr>
      </vt:variant>
      <vt:variant>
        <vt:i4>1179701</vt:i4>
      </vt:variant>
      <vt:variant>
        <vt:i4>122</vt:i4>
      </vt:variant>
      <vt:variant>
        <vt:i4>0</vt:i4>
      </vt:variant>
      <vt:variant>
        <vt:i4>5</vt:i4>
      </vt:variant>
      <vt:variant>
        <vt:lpwstr/>
      </vt:variant>
      <vt:variant>
        <vt:lpwstr>_Toc120113554</vt:lpwstr>
      </vt:variant>
      <vt:variant>
        <vt:i4>1179701</vt:i4>
      </vt:variant>
      <vt:variant>
        <vt:i4>116</vt:i4>
      </vt:variant>
      <vt:variant>
        <vt:i4>0</vt:i4>
      </vt:variant>
      <vt:variant>
        <vt:i4>5</vt:i4>
      </vt:variant>
      <vt:variant>
        <vt:lpwstr/>
      </vt:variant>
      <vt:variant>
        <vt:lpwstr>_Toc120113553</vt:lpwstr>
      </vt:variant>
      <vt:variant>
        <vt:i4>1179701</vt:i4>
      </vt:variant>
      <vt:variant>
        <vt:i4>110</vt:i4>
      </vt:variant>
      <vt:variant>
        <vt:i4>0</vt:i4>
      </vt:variant>
      <vt:variant>
        <vt:i4>5</vt:i4>
      </vt:variant>
      <vt:variant>
        <vt:lpwstr/>
      </vt:variant>
      <vt:variant>
        <vt:lpwstr>_Toc120113552</vt:lpwstr>
      </vt:variant>
      <vt:variant>
        <vt:i4>1179701</vt:i4>
      </vt:variant>
      <vt:variant>
        <vt:i4>104</vt:i4>
      </vt:variant>
      <vt:variant>
        <vt:i4>0</vt:i4>
      </vt:variant>
      <vt:variant>
        <vt:i4>5</vt:i4>
      </vt:variant>
      <vt:variant>
        <vt:lpwstr/>
      </vt:variant>
      <vt:variant>
        <vt:lpwstr>_Toc120113551</vt:lpwstr>
      </vt:variant>
      <vt:variant>
        <vt:i4>1179701</vt:i4>
      </vt:variant>
      <vt:variant>
        <vt:i4>98</vt:i4>
      </vt:variant>
      <vt:variant>
        <vt:i4>0</vt:i4>
      </vt:variant>
      <vt:variant>
        <vt:i4>5</vt:i4>
      </vt:variant>
      <vt:variant>
        <vt:lpwstr/>
      </vt:variant>
      <vt:variant>
        <vt:lpwstr>_Toc120113550</vt:lpwstr>
      </vt:variant>
      <vt:variant>
        <vt:i4>1245237</vt:i4>
      </vt:variant>
      <vt:variant>
        <vt:i4>92</vt:i4>
      </vt:variant>
      <vt:variant>
        <vt:i4>0</vt:i4>
      </vt:variant>
      <vt:variant>
        <vt:i4>5</vt:i4>
      </vt:variant>
      <vt:variant>
        <vt:lpwstr/>
      </vt:variant>
      <vt:variant>
        <vt:lpwstr>_Toc120113549</vt:lpwstr>
      </vt:variant>
      <vt:variant>
        <vt:i4>1245237</vt:i4>
      </vt:variant>
      <vt:variant>
        <vt:i4>86</vt:i4>
      </vt:variant>
      <vt:variant>
        <vt:i4>0</vt:i4>
      </vt:variant>
      <vt:variant>
        <vt:i4>5</vt:i4>
      </vt:variant>
      <vt:variant>
        <vt:lpwstr/>
      </vt:variant>
      <vt:variant>
        <vt:lpwstr>_Toc120113548</vt:lpwstr>
      </vt:variant>
      <vt:variant>
        <vt:i4>1245237</vt:i4>
      </vt:variant>
      <vt:variant>
        <vt:i4>80</vt:i4>
      </vt:variant>
      <vt:variant>
        <vt:i4>0</vt:i4>
      </vt:variant>
      <vt:variant>
        <vt:i4>5</vt:i4>
      </vt:variant>
      <vt:variant>
        <vt:lpwstr/>
      </vt:variant>
      <vt:variant>
        <vt:lpwstr>_Toc120113547</vt:lpwstr>
      </vt:variant>
      <vt:variant>
        <vt:i4>1245237</vt:i4>
      </vt:variant>
      <vt:variant>
        <vt:i4>74</vt:i4>
      </vt:variant>
      <vt:variant>
        <vt:i4>0</vt:i4>
      </vt:variant>
      <vt:variant>
        <vt:i4>5</vt:i4>
      </vt:variant>
      <vt:variant>
        <vt:lpwstr/>
      </vt:variant>
      <vt:variant>
        <vt:lpwstr>_Toc120113546</vt:lpwstr>
      </vt:variant>
      <vt:variant>
        <vt:i4>1245237</vt:i4>
      </vt:variant>
      <vt:variant>
        <vt:i4>68</vt:i4>
      </vt:variant>
      <vt:variant>
        <vt:i4>0</vt:i4>
      </vt:variant>
      <vt:variant>
        <vt:i4>5</vt:i4>
      </vt:variant>
      <vt:variant>
        <vt:lpwstr/>
      </vt:variant>
      <vt:variant>
        <vt:lpwstr>_Toc120113545</vt:lpwstr>
      </vt:variant>
      <vt:variant>
        <vt:i4>1245237</vt:i4>
      </vt:variant>
      <vt:variant>
        <vt:i4>62</vt:i4>
      </vt:variant>
      <vt:variant>
        <vt:i4>0</vt:i4>
      </vt:variant>
      <vt:variant>
        <vt:i4>5</vt:i4>
      </vt:variant>
      <vt:variant>
        <vt:lpwstr/>
      </vt:variant>
      <vt:variant>
        <vt:lpwstr>_Toc120113544</vt:lpwstr>
      </vt:variant>
      <vt:variant>
        <vt:i4>1245237</vt:i4>
      </vt:variant>
      <vt:variant>
        <vt:i4>56</vt:i4>
      </vt:variant>
      <vt:variant>
        <vt:i4>0</vt:i4>
      </vt:variant>
      <vt:variant>
        <vt:i4>5</vt:i4>
      </vt:variant>
      <vt:variant>
        <vt:lpwstr/>
      </vt:variant>
      <vt:variant>
        <vt:lpwstr>_Toc120113543</vt:lpwstr>
      </vt:variant>
      <vt:variant>
        <vt:i4>1245237</vt:i4>
      </vt:variant>
      <vt:variant>
        <vt:i4>50</vt:i4>
      </vt:variant>
      <vt:variant>
        <vt:i4>0</vt:i4>
      </vt:variant>
      <vt:variant>
        <vt:i4>5</vt:i4>
      </vt:variant>
      <vt:variant>
        <vt:lpwstr/>
      </vt:variant>
      <vt:variant>
        <vt:lpwstr>_Toc120113542</vt:lpwstr>
      </vt:variant>
      <vt:variant>
        <vt:i4>1245237</vt:i4>
      </vt:variant>
      <vt:variant>
        <vt:i4>44</vt:i4>
      </vt:variant>
      <vt:variant>
        <vt:i4>0</vt:i4>
      </vt:variant>
      <vt:variant>
        <vt:i4>5</vt:i4>
      </vt:variant>
      <vt:variant>
        <vt:lpwstr/>
      </vt:variant>
      <vt:variant>
        <vt:lpwstr>_Toc120113541</vt:lpwstr>
      </vt:variant>
      <vt:variant>
        <vt:i4>1245237</vt:i4>
      </vt:variant>
      <vt:variant>
        <vt:i4>38</vt:i4>
      </vt:variant>
      <vt:variant>
        <vt:i4>0</vt:i4>
      </vt:variant>
      <vt:variant>
        <vt:i4>5</vt:i4>
      </vt:variant>
      <vt:variant>
        <vt:lpwstr/>
      </vt:variant>
      <vt:variant>
        <vt:lpwstr>_Toc120113540</vt:lpwstr>
      </vt:variant>
      <vt:variant>
        <vt:i4>1310773</vt:i4>
      </vt:variant>
      <vt:variant>
        <vt:i4>32</vt:i4>
      </vt:variant>
      <vt:variant>
        <vt:i4>0</vt:i4>
      </vt:variant>
      <vt:variant>
        <vt:i4>5</vt:i4>
      </vt:variant>
      <vt:variant>
        <vt:lpwstr/>
      </vt:variant>
      <vt:variant>
        <vt:lpwstr>_Toc120113539</vt:lpwstr>
      </vt:variant>
      <vt:variant>
        <vt:i4>1310773</vt:i4>
      </vt:variant>
      <vt:variant>
        <vt:i4>26</vt:i4>
      </vt:variant>
      <vt:variant>
        <vt:i4>0</vt:i4>
      </vt:variant>
      <vt:variant>
        <vt:i4>5</vt:i4>
      </vt:variant>
      <vt:variant>
        <vt:lpwstr/>
      </vt:variant>
      <vt:variant>
        <vt:lpwstr>_Toc120113538</vt:lpwstr>
      </vt:variant>
      <vt:variant>
        <vt:i4>1310773</vt:i4>
      </vt:variant>
      <vt:variant>
        <vt:i4>20</vt:i4>
      </vt:variant>
      <vt:variant>
        <vt:i4>0</vt:i4>
      </vt:variant>
      <vt:variant>
        <vt:i4>5</vt:i4>
      </vt:variant>
      <vt:variant>
        <vt:lpwstr/>
      </vt:variant>
      <vt:variant>
        <vt:lpwstr>_Toc120113537</vt:lpwstr>
      </vt:variant>
      <vt:variant>
        <vt:i4>1310773</vt:i4>
      </vt:variant>
      <vt:variant>
        <vt:i4>14</vt:i4>
      </vt:variant>
      <vt:variant>
        <vt:i4>0</vt:i4>
      </vt:variant>
      <vt:variant>
        <vt:i4>5</vt:i4>
      </vt:variant>
      <vt:variant>
        <vt:lpwstr/>
      </vt:variant>
      <vt:variant>
        <vt:lpwstr>_Toc120113536</vt:lpwstr>
      </vt:variant>
      <vt:variant>
        <vt:i4>1310773</vt:i4>
      </vt:variant>
      <vt:variant>
        <vt:i4>8</vt:i4>
      </vt:variant>
      <vt:variant>
        <vt:i4>0</vt:i4>
      </vt:variant>
      <vt:variant>
        <vt:i4>5</vt:i4>
      </vt:variant>
      <vt:variant>
        <vt:lpwstr/>
      </vt:variant>
      <vt:variant>
        <vt:lpwstr>_Toc120113535</vt:lpwstr>
      </vt:variant>
      <vt:variant>
        <vt:i4>1310773</vt:i4>
      </vt:variant>
      <vt:variant>
        <vt:i4>2</vt:i4>
      </vt:variant>
      <vt:variant>
        <vt:i4>0</vt:i4>
      </vt:variant>
      <vt:variant>
        <vt:i4>5</vt:i4>
      </vt:variant>
      <vt:variant>
        <vt:lpwstr/>
      </vt:variant>
      <vt:variant>
        <vt:lpwstr>_Toc120113534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King (DJPR)</dc:creator>
  <cp:keywords/>
  <cp:lastModifiedBy>Rosie King (DJSIR)</cp:lastModifiedBy>
  <cp:revision>2</cp:revision>
  <cp:lastPrinted>2023-01-30T22:24:00Z</cp:lastPrinted>
  <dcterms:created xsi:type="dcterms:W3CDTF">2023-02-07T06:13:00Z</dcterms:created>
  <dcterms:modified xsi:type="dcterms:W3CDTF">2023-02-07T06:13:00Z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0x010100EBD7D363CB03694ABB9EA58E8A44D394</vt:lpwstr>
  </property>
  <property fmtid="{D5CDD505-2E9C-101B-9397-08002B2CF9AE}" pid="3" name="DEDJTRDivision">
    <vt:lpwstr/>
  </property>
  <property fmtid="{D5CDD505-2E9C-101B-9397-08002B2CF9AE}" pid="4" name="DEDJTRBranch">
    <vt:lpwstr/>
  </property>
  <property fmtid="{D5CDD505-2E9C-101B-9397-08002B2CF9AE}" pid="5" name="DEDJTRSection">
    <vt:lpwstr/>
  </property>
  <property fmtid="{D5CDD505-2E9C-101B-9397-08002B2CF9AE}" pid="6" name="DEDJTRGroup">
    <vt:lpwstr/>
  </property>
  <property fmtid="{D5CDD505-2E9C-101B-9397-08002B2CF9AE}" pid="7" name="DEDJTRSecurityClassification">
    <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y fmtid="{D5CDD505-2E9C-101B-9397-08002B2CF9AE}" pid="14" name="MediaServiceImageTags">
    <vt:lpwstr/>
  </property>
  <property fmtid="{D5CDD505-2E9C-101B-9397-08002B2CF9AE}" pid="15" name="SharedWithUsers">
    <vt:lpwstr/>
  </property>
  <property fmtid="{D5CDD505-2E9C-101B-9397-08002B2CF9AE}" pid="16" name="_docset_NoMedatataSyncRequired">
    <vt:lpwstr>False</vt:lpwstr>
  </property>
  <property fmtid="{D5CDD505-2E9C-101B-9397-08002B2CF9AE}" pid="17" name="Replytype">
    <vt:lpwstr/>
  </property>
  <property fmtid="{D5CDD505-2E9C-101B-9397-08002B2CF9AE}" pid="18" name="Order">
    <vt:r8>2674400</vt:r8>
  </property>
  <property fmtid="{D5CDD505-2E9C-101B-9397-08002B2CF9AE}" pid="19" name="DocumentSetDescription">
    <vt:lpwstr/>
  </property>
  <property fmtid="{D5CDD505-2E9C-101B-9397-08002B2CF9AE}" pid="20" name="RecordType">
    <vt:lpwstr/>
  </property>
  <property fmtid="{D5CDD505-2E9C-101B-9397-08002B2CF9AE}" pid="21" name="MSIP_Label_d00a4df9-c942-4b09-b23a-6c1023f6de27_Enabled">
    <vt:lpwstr>true</vt:lpwstr>
  </property>
  <property fmtid="{D5CDD505-2E9C-101B-9397-08002B2CF9AE}" pid="22" name="MSIP_Label_d00a4df9-c942-4b09-b23a-6c1023f6de27_SetDate">
    <vt:lpwstr>2023-02-07T06:13:15Z</vt:lpwstr>
  </property>
  <property fmtid="{D5CDD505-2E9C-101B-9397-08002B2CF9AE}" pid="23" name="MSIP_Label_d00a4df9-c942-4b09-b23a-6c1023f6de27_Method">
    <vt:lpwstr>Privileged</vt:lpwstr>
  </property>
  <property fmtid="{D5CDD505-2E9C-101B-9397-08002B2CF9AE}" pid="24" name="MSIP_Label_d00a4df9-c942-4b09-b23a-6c1023f6de27_Name">
    <vt:lpwstr>Official (DJPR)</vt:lpwstr>
  </property>
  <property fmtid="{D5CDD505-2E9C-101B-9397-08002B2CF9AE}" pid="25" name="MSIP_Label_d00a4df9-c942-4b09-b23a-6c1023f6de27_SiteId">
    <vt:lpwstr>722ea0be-3e1c-4b11-ad6f-9401d6856e24</vt:lpwstr>
  </property>
  <property fmtid="{D5CDD505-2E9C-101B-9397-08002B2CF9AE}" pid="26" name="MSIP_Label_d00a4df9-c942-4b09-b23a-6c1023f6de27_ActionId">
    <vt:lpwstr>12596d7d-9386-42c2-a103-de6e8fee1fe9</vt:lpwstr>
  </property>
  <property fmtid="{D5CDD505-2E9C-101B-9397-08002B2CF9AE}" pid="27" name="MSIP_Label_d00a4df9-c942-4b09-b23a-6c1023f6de27_ContentBits">
    <vt:lpwstr>3</vt:lpwstr>
  </property>
</Properties>
</file>