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7659" w14:textId="03593ABA" w:rsidR="004739A9" w:rsidRPr="008223B9" w:rsidRDefault="008223B9" w:rsidP="008223B9">
      <w:pPr>
        <w:pStyle w:val="Title"/>
        <w:pBdr>
          <w:bottom w:val="single" w:sz="4" w:space="1" w:color="auto"/>
        </w:pBdr>
        <w:rPr>
          <w:rFonts w:ascii="Arial" w:hAnsi="Arial" w:cs="Arial"/>
        </w:rPr>
      </w:pPr>
      <w:r w:rsidRPr="008223B9">
        <w:rPr>
          <w:rFonts w:ascii="Arial" w:hAnsi="Arial" w:cs="Arial"/>
        </w:rPr>
        <w:t>Agriculture TAFE and Training Fund Guidelines</w:t>
      </w:r>
    </w:p>
    <w:p w14:paraId="112EB263" w14:textId="615A606E" w:rsidR="00016820" w:rsidRDefault="00016820">
      <w:pPr>
        <w:rPr>
          <w:rFonts w:ascii="Arial" w:hAnsi="Arial" w:cs="Arial"/>
        </w:rPr>
      </w:pPr>
      <w:r>
        <w:rPr>
          <w:rFonts w:ascii="Arial" w:hAnsi="Arial" w:cs="Arial"/>
        </w:rPr>
        <w:br w:type="page"/>
      </w:r>
    </w:p>
    <w:p w14:paraId="633247A2" w14:textId="77777777" w:rsidR="008223B9" w:rsidRPr="008223B9" w:rsidRDefault="008223B9" w:rsidP="008223B9">
      <w:pPr>
        <w:rPr>
          <w:rFonts w:ascii="Arial" w:hAnsi="Arial" w:cs="Arial"/>
        </w:rPr>
      </w:pPr>
    </w:p>
    <w:p w14:paraId="694F19E3" w14:textId="2445A501" w:rsidR="00016820" w:rsidRDefault="00016820">
      <w:pPr>
        <w:pStyle w:val="TOC1"/>
        <w:tabs>
          <w:tab w:val="left" w:pos="440"/>
          <w:tab w:val="right" w:leader="dot" w:pos="9016"/>
        </w:tabs>
        <w:rPr>
          <w:rFonts w:eastAsiaTheme="minorEastAsia"/>
          <w:noProof/>
          <w:lang w:eastAsia="en-AU"/>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113549352" w:history="1">
        <w:r w:rsidRPr="00A60A93">
          <w:rPr>
            <w:rStyle w:val="Hyperlink"/>
            <w:rFonts w:ascii="Arial" w:hAnsi="Arial" w:cs="Arial"/>
            <w:noProof/>
          </w:rPr>
          <w:t>1</w:t>
        </w:r>
        <w:r>
          <w:rPr>
            <w:rFonts w:eastAsiaTheme="minorEastAsia"/>
            <w:noProof/>
            <w:lang w:eastAsia="en-AU"/>
          </w:rPr>
          <w:tab/>
        </w:r>
        <w:r w:rsidRPr="00A60A93">
          <w:rPr>
            <w:rStyle w:val="Hyperlink"/>
            <w:rFonts w:ascii="Arial" w:hAnsi="Arial" w:cs="Arial"/>
            <w:noProof/>
          </w:rPr>
          <w:t>Program Summary</w:t>
        </w:r>
        <w:r>
          <w:rPr>
            <w:noProof/>
            <w:webHidden/>
          </w:rPr>
          <w:tab/>
        </w:r>
        <w:r>
          <w:rPr>
            <w:noProof/>
            <w:webHidden/>
          </w:rPr>
          <w:fldChar w:fldCharType="begin"/>
        </w:r>
        <w:r>
          <w:rPr>
            <w:noProof/>
            <w:webHidden/>
          </w:rPr>
          <w:instrText xml:space="preserve"> PAGEREF _Toc113549352 \h </w:instrText>
        </w:r>
        <w:r>
          <w:rPr>
            <w:noProof/>
            <w:webHidden/>
          </w:rPr>
        </w:r>
        <w:r>
          <w:rPr>
            <w:noProof/>
            <w:webHidden/>
          </w:rPr>
          <w:fldChar w:fldCharType="separate"/>
        </w:r>
        <w:r>
          <w:rPr>
            <w:noProof/>
            <w:webHidden/>
          </w:rPr>
          <w:t>3</w:t>
        </w:r>
        <w:r>
          <w:rPr>
            <w:noProof/>
            <w:webHidden/>
          </w:rPr>
          <w:fldChar w:fldCharType="end"/>
        </w:r>
      </w:hyperlink>
    </w:p>
    <w:p w14:paraId="1AA0FA80" w14:textId="18C30502" w:rsidR="00016820" w:rsidRDefault="00891D29">
      <w:pPr>
        <w:pStyle w:val="TOC2"/>
        <w:tabs>
          <w:tab w:val="left" w:pos="880"/>
          <w:tab w:val="right" w:leader="dot" w:pos="9016"/>
        </w:tabs>
        <w:rPr>
          <w:rFonts w:eastAsiaTheme="minorEastAsia"/>
          <w:noProof/>
          <w:lang w:eastAsia="en-AU"/>
        </w:rPr>
      </w:pPr>
      <w:hyperlink w:anchor="_Toc113549353" w:history="1">
        <w:r w:rsidR="00016820" w:rsidRPr="00A60A93">
          <w:rPr>
            <w:rStyle w:val="Hyperlink"/>
            <w:rFonts w:ascii="Arial" w:hAnsi="Arial" w:cs="Arial"/>
            <w:noProof/>
          </w:rPr>
          <w:t>1.1</w:t>
        </w:r>
        <w:r w:rsidR="00016820">
          <w:rPr>
            <w:rFonts w:eastAsiaTheme="minorEastAsia"/>
            <w:noProof/>
            <w:lang w:eastAsia="en-AU"/>
          </w:rPr>
          <w:tab/>
        </w:r>
        <w:r w:rsidR="00016820" w:rsidRPr="00A60A93">
          <w:rPr>
            <w:rStyle w:val="Hyperlink"/>
            <w:rFonts w:ascii="Arial" w:hAnsi="Arial" w:cs="Arial"/>
            <w:noProof/>
          </w:rPr>
          <w:t>Overview</w:t>
        </w:r>
        <w:r w:rsidR="00016820">
          <w:rPr>
            <w:noProof/>
            <w:webHidden/>
          </w:rPr>
          <w:tab/>
        </w:r>
        <w:r w:rsidR="00016820">
          <w:rPr>
            <w:noProof/>
            <w:webHidden/>
          </w:rPr>
          <w:fldChar w:fldCharType="begin"/>
        </w:r>
        <w:r w:rsidR="00016820">
          <w:rPr>
            <w:noProof/>
            <w:webHidden/>
          </w:rPr>
          <w:instrText xml:space="preserve"> PAGEREF _Toc113549353 \h </w:instrText>
        </w:r>
        <w:r w:rsidR="00016820">
          <w:rPr>
            <w:noProof/>
            <w:webHidden/>
          </w:rPr>
        </w:r>
        <w:r w:rsidR="00016820">
          <w:rPr>
            <w:noProof/>
            <w:webHidden/>
          </w:rPr>
          <w:fldChar w:fldCharType="separate"/>
        </w:r>
        <w:r w:rsidR="00016820">
          <w:rPr>
            <w:noProof/>
            <w:webHidden/>
          </w:rPr>
          <w:t>3</w:t>
        </w:r>
        <w:r w:rsidR="00016820">
          <w:rPr>
            <w:noProof/>
            <w:webHidden/>
          </w:rPr>
          <w:fldChar w:fldCharType="end"/>
        </w:r>
      </w:hyperlink>
    </w:p>
    <w:p w14:paraId="2CB6BC98" w14:textId="780EC992" w:rsidR="00016820" w:rsidRDefault="00891D29">
      <w:pPr>
        <w:pStyle w:val="TOC2"/>
        <w:tabs>
          <w:tab w:val="left" w:pos="880"/>
          <w:tab w:val="right" w:leader="dot" w:pos="9016"/>
        </w:tabs>
        <w:rPr>
          <w:rFonts w:eastAsiaTheme="minorEastAsia"/>
          <w:noProof/>
          <w:lang w:eastAsia="en-AU"/>
        </w:rPr>
      </w:pPr>
      <w:hyperlink w:anchor="_Toc113549354" w:history="1">
        <w:r w:rsidR="00016820" w:rsidRPr="00A60A93">
          <w:rPr>
            <w:rStyle w:val="Hyperlink"/>
            <w:rFonts w:ascii="Arial" w:hAnsi="Arial" w:cs="Arial"/>
            <w:noProof/>
          </w:rPr>
          <w:t>1.2</w:t>
        </w:r>
        <w:r w:rsidR="00016820">
          <w:rPr>
            <w:rFonts w:eastAsiaTheme="minorEastAsia"/>
            <w:noProof/>
            <w:lang w:eastAsia="en-AU"/>
          </w:rPr>
          <w:tab/>
        </w:r>
        <w:r w:rsidR="00016820" w:rsidRPr="00A60A93">
          <w:rPr>
            <w:rStyle w:val="Hyperlink"/>
            <w:rFonts w:ascii="Arial" w:hAnsi="Arial" w:cs="Arial"/>
            <w:noProof/>
          </w:rPr>
          <w:t>Objectives of the Agriculture TAFE and Training Fund</w:t>
        </w:r>
        <w:r w:rsidR="00016820">
          <w:rPr>
            <w:noProof/>
            <w:webHidden/>
          </w:rPr>
          <w:tab/>
        </w:r>
        <w:r w:rsidR="00016820">
          <w:rPr>
            <w:noProof/>
            <w:webHidden/>
          </w:rPr>
          <w:fldChar w:fldCharType="begin"/>
        </w:r>
        <w:r w:rsidR="00016820">
          <w:rPr>
            <w:noProof/>
            <w:webHidden/>
          </w:rPr>
          <w:instrText xml:space="preserve"> PAGEREF _Toc113549354 \h </w:instrText>
        </w:r>
        <w:r w:rsidR="00016820">
          <w:rPr>
            <w:noProof/>
            <w:webHidden/>
          </w:rPr>
        </w:r>
        <w:r w:rsidR="00016820">
          <w:rPr>
            <w:noProof/>
            <w:webHidden/>
          </w:rPr>
          <w:fldChar w:fldCharType="separate"/>
        </w:r>
        <w:r w:rsidR="00016820">
          <w:rPr>
            <w:noProof/>
            <w:webHidden/>
          </w:rPr>
          <w:t>3</w:t>
        </w:r>
        <w:r w:rsidR="00016820">
          <w:rPr>
            <w:noProof/>
            <w:webHidden/>
          </w:rPr>
          <w:fldChar w:fldCharType="end"/>
        </w:r>
      </w:hyperlink>
    </w:p>
    <w:p w14:paraId="796DE09E" w14:textId="0F93A91D" w:rsidR="00016820" w:rsidRDefault="00891D29">
      <w:pPr>
        <w:pStyle w:val="TOC1"/>
        <w:tabs>
          <w:tab w:val="left" w:pos="440"/>
          <w:tab w:val="right" w:leader="dot" w:pos="9016"/>
        </w:tabs>
        <w:rPr>
          <w:rFonts w:eastAsiaTheme="minorEastAsia"/>
          <w:noProof/>
          <w:lang w:eastAsia="en-AU"/>
        </w:rPr>
      </w:pPr>
      <w:hyperlink w:anchor="_Toc113549355" w:history="1">
        <w:r w:rsidR="00016820" w:rsidRPr="00A60A93">
          <w:rPr>
            <w:rStyle w:val="Hyperlink"/>
            <w:rFonts w:ascii="Arial" w:hAnsi="Arial" w:cs="Arial"/>
            <w:noProof/>
          </w:rPr>
          <w:t>2</w:t>
        </w:r>
        <w:r w:rsidR="00016820">
          <w:rPr>
            <w:rFonts w:eastAsiaTheme="minorEastAsia"/>
            <w:noProof/>
            <w:lang w:eastAsia="en-AU"/>
          </w:rPr>
          <w:tab/>
        </w:r>
        <w:r w:rsidR="00016820" w:rsidRPr="00A60A93">
          <w:rPr>
            <w:rStyle w:val="Hyperlink"/>
            <w:rFonts w:ascii="Arial" w:hAnsi="Arial" w:cs="Arial"/>
            <w:noProof/>
          </w:rPr>
          <w:t>Available Funding</w:t>
        </w:r>
        <w:r w:rsidR="00016820">
          <w:rPr>
            <w:noProof/>
            <w:webHidden/>
          </w:rPr>
          <w:tab/>
        </w:r>
        <w:r w:rsidR="00016820">
          <w:rPr>
            <w:noProof/>
            <w:webHidden/>
          </w:rPr>
          <w:fldChar w:fldCharType="begin"/>
        </w:r>
        <w:r w:rsidR="00016820">
          <w:rPr>
            <w:noProof/>
            <w:webHidden/>
          </w:rPr>
          <w:instrText xml:space="preserve"> PAGEREF _Toc113549355 \h </w:instrText>
        </w:r>
        <w:r w:rsidR="00016820">
          <w:rPr>
            <w:noProof/>
            <w:webHidden/>
          </w:rPr>
        </w:r>
        <w:r w:rsidR="00016820">
          <w:rPr>
            <w:noProof/>
            <w:webHidden/>
          </w:rPr>
          <w:fldChar w:fldCharType="separate"/>
        </w:r>
        <w:r w:rsidR="00016820">
          <w:rPr>
            <w:noProof/>
            <w:webHidden/>
          </w:rPr>
          <w:t>4</w:t>
        </w:r>
        <w:r w:rsidR="00016820">
          <w:rPr>
            <w:noProof/>
            <w:webHidden/>
          </w:rPr>
          <w:fldChar w:fldCharType="end"/>
        </w:r>
      </w:hyperlink>
    </w:p>
    <w:p w14:paraId="074EFF98" w14:textId="541E8316" w:rsidR="00016820" w:rsidRDefault="00891D29">
      <w:pPr>
        <w:pStyle w:val="TOC2"/>
        <w:tabs>
          <w:tab w:val="left" w:pos="880"/>
          <w:tab w:val="right" w:leader="dot" w:pos="9016"/>
        </w:tabs>
        <w:rPr>
          <w:rFonts w:eastAsiaTheme="minorEastAsia"/>
          <w:noProof/>
          <w:lang w:eastAsia="en-AU"/>
        </w:rPr>
      </w:pPr>
      <w:hyperlink w:anchor="_Toc113549356" w:history="1">
        <w:r w:rsidR="00016820" w:rsidRPr="00A60A93">
          <w:rPr>
            <w:rStyle w:val="Hyperlink"/>
            <w:rFonts w:ascii="Arial" w:hAnsi="Arial" w:cs="Arial"/>
            <w:noProof/>
          </w:rPr>
          <w:t>2.1</w:t>
        </w:r>
        <w:r w:rsidR="00016820">
          <w:rPr>
            <w:rFonts w:eastAsiaTheme="minorEastAsia"/>
            <w:noProof/>
            <w:lang w:eastAsia="en-AU"/>
          </w:rPr>
          <w:tab/>
        </w:r>
        <w:r w:rsidR="00016820" w:rsidRPr="00A60A93">
          <w:rPr>
            <w:rStyle w:val="Hyperlink"/>
            <w:rFonts w:ascii="Arial" w:hAnsi="Arial" w:cs="Arial"/>
            <w:noProof/>
          </w:rPr>
          <w:t>Building on existing work and collaboration</w:t>
        </w:r>
        <w:r w:rsidR="00016820">
          <w:rPr>
            <w:noProof/>
            <w:webHidden/>
          </w:rPr>
          <w:tab/>
        </w:r>
        <w:r w:rsidR="00016820">
          <w:rPr>
            <w:noProof/>
            <w:webHidden/>
          </w:rPr>
          <w:fldChar w:fldCharType="begin"/>
        </w:r>
        <w:r w:rsidR="00016820">
          <w:rPr>
            <w:noProof/>
            <w:webHidden/>
          </w:rPr>
          <w:instrText xml:space="preserve"> PAGEREF _Toc113549356 \h </w:instrText>
        </w:r>
        <w:r w:rsidR="00016820">
          <w:rPr>
            <w:noProof/>
            <w:webHidden/>
          </w:rPr>
        </w:r>
        <w:r w:rsidR="00016820">
          <w:rPr>
            <w:noProof/>
            <w:webHidden/>
          </w:rPr>
          <w:fldChar w:fldCharType="separate"/>
        </w:r>
        <w:r w:rsidR="00016820">
          <w:rPr>
            <w:noProof/>
            <w:webHidden/>
          </w:rPr>
          <w:t>4</w:t>
        </w:r>
        <w:r w:rsidR="00016820">
          <w:rPr>
            <w:noProof/>
            <w:webHidden/>
          </w:rPr>
          <w:fldChar w:fldCharType="end"/>
        </w:r>
      </w:hyperlink>
    </w:p>
    <w:p w14:paraId="7CB016CC" w14:textId="062AF6C0" w:rsidR="00016820" w:rsidRDefault="00891D29">
      <w:pPr>
        <w:pStyle w:val="TOC1"/>
        <w:tabs>
          <w:tab w:val="left" w:pos="440"/>
          <w:tab w:val="right" w:leader="dot" w:pos="9016"/>
        </w:tabs>
        <w:rPr>
          <w:rFonts w:eastAsiaTheme="minorEastAsia"/>
          <w:noProof/>
          <w:lang w:eastAsia="en-AU"/>
        </w:rPr>
      </w:pPr>
      <w:hyperlink w:anchor="_Toc113549357" w:history="1">
        <w:r w:rsidR="00016820" w:rsidRPr="00A60A93">
          <w:rPr>
            <w:rStyle w:val="Hyperlink"/>
            <w:rFonts w:ascii="Arial" w:hAnsi="Arial" w:cs="Arial"/>
            <w:noProof/>
          </w:rPr>
          <w:t>3</w:t>
        </w:r>
        <w:r w:rsidR="00016820">
          <w:rPr>
            <w:rFonts w:eastAsiaTheme="minorEastAsia"/>
            <w:noProof/>
            <w:lang w:eastAsia="en-AU"/>
          </w:rPr>
          <w:tab/>
        </w:r>
        <w:r w:rsidR="00016820" w:rsidRPr="00A60A93">
          <w:rPr>
            <w:rStyle w:val="Hyperlink"/>
            <w:rFonts w:ascii="Arial" w:hAnsi="Arial" w:cs="Arial"/>
            <w:noProof/>
          </w:rPr>
          <w:t>Applicant Eligibility</w:t>
        </w:r>
        <w:r w:rsidR="00016820">
          <w:rPr>
            <w:noProof/>
            <w:webHidden/>
          </w:rPr>
          <w:tab/>
        </w:r>
        <w:r w:rsidR="00016820">
          <w:rPr>
            <w:noProof/>
            <w:webHidden/>
          </w:rPr>
          <w:fldChar w:fldCharType="begin"/>
        </w:r>
        <w:r w:rsidR="00016820">
          <w:rPr>
            <w:noProof/>
            <w:webHidden/>
          </w:rPr>
          <w:instrText xml:space="preserve"> PAGEREF _Toc113549357 \h </w:instrText>
        </w:r>
        <w:r w:rsidR="00016820">
          <w:rPr>
            <w:noProof/>
            <w:webHidden/>
          </w:rPr>
        </w:r>
        <w:r w:rsidR="00016820">
          <w:rPr>
            <w:noProof/>
            <w:webHidden/>
          </w:rPr>
          <w:fldChar w:fldCharType="separate"/>
        </w:r>
        <w:r w:rsidR="00016820">
          <w:rPr>
            <w:noProof/>
            <w:webHidden/>
          </w:rPr>
          <w:t>4</w:t>
        </w:r>
        <w:r w:rsidR="00016820">
          <w:rPr>
            <w:noProof/>
            <w:webHidden/>
          </w:rPr>
          <w:fldChar w:fldCharType="end"/>
        </w:r>
      </w:hyperlink>
    </w:p>
    <w:p w14:paraId="0A67933D" w14:textId="73F0024D" w:rsidR="00016820" w:rsidRDefault="00891D29">
      <w:pPr>
        <w:pStyle w:val="TOC2"/>
        <w:tabs>
          <w:tab w:val="left" w:pos="880"/>
          <w:tab w:val="right" w:leader="dot" w:pos="9016"/>
        </w:tabs>
        <w:rPr>
          <w:rFonts w:eastAsiaTheme="minorEastAsia"/>
          <w:noProof/>
          <w:lang w:eastAsia="en-AU"/>
        </w:rPr>
      </w:pPr>
      <w:hyperlink w:anchor="_Toc113549358" w:history="1">
        <w:r w:rsidR="00016820" w:rsidRPr="00A60A93">
          <w:rPr>
            <w:rStyle w:val="Hyperlink"/>
            <w:rFonts w:ascii="Arial" w:hAnsi="Arial" w:cs="Arial"/>
            <w:noProof/>
          </w:rPr>
          <w:t>3.1</w:t>
        </w:r>
        <w:r w:rsidR="00016820">
          <w:rPr>
            <w:rFonts w:eastAsiaTheme="minorEastAsia"/>
            <w:noProof/>
            <w:lang w:eastAsia="en-AU"/>
          </w:rPr>
          <w:tab/>
        </w:r>
        <w:r w:rsidR="00016820" w:rsidRPr="00A60A93">
          <w:rPr>
            <w:rStyle w:val="Hyperlink"/>
            <w:rFonts w:ascii="Arial" w:hAnsi="Arial" w:cs="Arial"/>
            <w:noProof/>
          </w:rPr>
          <w:t>Eligibility Criteria</w:t>
        </w:r>
        <w:r w:rsidR="00016820">
          <w:rPr>
            <w:noProof/>
            <w:webHidden/>
          </w:rPr>
          <w:tab/>
        </w:r>
        <w:r w:rsidR="00016820">
          <w:rPr>
            <w:noProof/>
            <w:webHidden/>
          </w:rPr>
          <w:fldChar w:fldCharType="begin"/>
        </w:r>
        <w:r w:rsidR="00016820">
          <w:rPr>
            <w:noProof/>
            <w:webHidden/>
          </w:rPr>
          <w:instrText xml:space="preserve"> PAGEREF _Toc113549358 \h </w:instrText>
        </w:r>
        <w:r w:rsidR="00016820">
          <w:rPr>
            <w:noProof/>
            <w:webHidden/>
          </w:rPr>
        </w:r>
        <w:r w:rsidR="00016820">
          <w:rPr>
            <w:noProof/>
            <w:webHidden/>
          </w:rPr>
          <w:fldChar w:fldCharType="separate"/>
        </w:r>
        <w:r w:rsidR="00016820">
          <w:rPr>
            <w:noProof/>
            <w:webHidden/>
          </w:rPr>
          <w:t>4</w:t>
        </w:r>
        <w:r w:rsidR="00016820">
          <w:rPr>
            <w:noProof/>
            <w:webHidden/>
          </w:rPr>
          <w:fldChar w:fldCharType="end"/>
        </w:r>
      </w:hyperlink>
    </w:p>
    <w:p w14:paraId="428839D7" w14:textId="3BFE72EA" w:rsidR="00016820" w:rsidRDefault="00891D29">
      <w:pPr>
        <w:pStyle w:val="TOC2"/>
        <w:tabs>
          <w:tab w:val="left" w:pos="880"/>
          <w:tab w:val="right" w:leader="dot" w:pos="9016"/>
        </w:tabs>
        <w:rPr>
          <w:rFonts w:eastAsiaTheme="minorEastAsia"/>
          <w:noProof/>
          <w:lang w:eastAsia="en-AU"/>
        </w:rPr>
      </w:pPr>
      <w:hyperlink w:anchor="_Toc113549359" w:history="1">
        <w:r w:rsidR="00016820" w:rsidRPr="00A60A93">
          <w:rPr>
            <w:rStyle w:val="Hyperlink"/>
            <w:rFonts w:ascii="Arial" w:hAnsi="Arial" w:cs="Arial"/>
            <w:noProof/>
          </w:rPr>
          <w:t>3.2</w:t>
        </w:r>
        <w:r w:rsidR="00016820">
          <w:rPr>
            <w:rFonts w:eastAsiaTheme="minorEastAsia"/>
            <w:noProof/>
            <w:lang w:eastAsia="en-AU"/>
          </w:rPr>
          <w:tab/>
        </w:r>
        <w:r w:rsidR="00016820" w:rsidRPr="00A60A93">
          <w:rPr>
            <w:rStyle w:val="Hyperlink"/>
            <w:rFonts w:ascii="Arial" w:hAnsi="Arial" w:cs="Arial"/>
            <w:noProof/>
          </w:rPr>
          <w:t>Ineligible entities</w:t>
        </w:r>
        <w:r w:rsidR="00016820">
          <w:rPr>
            <w:noProof/>
            <w:webHidden/>
          </w:rPr>
          <w:tab/>
        </w:r>
        <w:r w:rsidR="00016820">
          <w:rPr>
            <w:noProof/>
            <w:webHidden/>
          </w:rPr>
          <w:fldChar w:fldCharType="begin"/>
        </w:r>
        <w:r w:rsidR="00016820">
          <w:rPr>
            <w:noProof/>
            <w:webHidden/>
          </w:rPr>
          <w:instrText xml:space="preserve"> PAGEREF _Toc113549359 \h </w:instrText>
        </w:r>
        <w:r w:rsidR="00016820">
          <w:rPr>
            <w:noProof/>
            <w:webHidden/>
          </w:rPr>
        </w:r>
        <w:r w:rsidR="00016820">
          <w:rPr>
            <w:noProof/>
            <w:webHidden/>
          </w:rPr>
          <w:fldChar w:fldCharType="separate"/>
        </w:r>
        <w:r w:rsidR="00016820">
          <w:rPr>
            <w:noProof/>
            <w:webHidden/>
          </w:rPr>
          <w:t>4</w:t>
        </w:r>
        <w:r w:rsidR="00016820">
          <w:rPr>
            <w:noProof/>
            <w:webHidden/>
          </w:rPr>
          <w:fldChar w:fldCharType="end"/>
        </w:r>
      </w:hyperlink>
    </w:p>
    <w:p w14:paraId="7F1FCD29" w14:textId="3AEC13B7" w:rsidR="00016820" w:rsidRDefault="00891D29">
      <w:pPr>
        <w:pStyle w:val="TOC2"/>
        <w:tabs>
          <w:tab w:val="left" w:pos="880"/>
          <w:tab w:val="right" w:leader="dot" w:pos="9016"/>
        </w:tabs>
        <w:rPr>
          <w:rFonts w:eastAsiaTheme="minorEastAsia"/>
          <w:noProof/>
          <w:lang w:eastAsia="en-AU"/>
        </w:rPr>
      </w:pPr>
      <w:hyperlink w:anchor="_Toc113549360" w:history="1">
        <w:r w:rsidR="00016820" w:rsidRPr="00A60A93">
          <w:rPr>
            <w:rStyle w:val="Hyperlink"/>
            <w:rFonts w:ascii="Arial" w:hAnsi="Arial" w:cs="Arial"/>
            <w:noProof/>
          </w:rPr>
          <w:t>3.3</w:t>
        </w:r>
        <w:r w:rsidR="00016820">
          <w:rPr>
            <w:rFonts w:eastAsiaTheme="minorEastAsia"/>
            <w:noProof/>
            <w:lang w:eastAsia="en-AU"/>
          </w:rPr>
          <w:tab/>
        </w:r>
        <w:r w:rsidR="00016820" w:rsidRPr="00A60A93">
          <w:rPr>
            <w:rStyle w:val="Hyperlink"/>
            <w:rFonts w:ascii="Arial" w:hAnsi="Arial" w:cs="Arial"/>
            <w:noProof/>
          </w:rPr>
          <w:t>Mandatory Documentation and Information Requirements</w:t>
        </w:r>
        <w:r w:rsidR="00016820">
          <w:rPr>
            <w:noProof/>
            <w:webHidden/>
          </w:rPr>
          <w:tab/>
        </w:r>
        <w:r w:rsidR="00016820">
          <w:rPr>
            <w:noProof/>
            <w:webHidden/>
          </w:rPr>
          <w:fldChar w:fldCharType="begin"/>
        </w:r>
        <w:r w:rsidR="00016820">
          <w:rPr>
            <w:noProof/>
            <w:webHidden/>
          </w:rPr>
          <w:instrText xml:space="preserve"> PAGEREF _Toc113549360 \h </w:instrText>
        </w:r>
        <w:r w:rsidR="00016820">
          <w:rPr>
            <w:noProof/>
            <w:webHidden/>
          </w:rPr>
        </w:r>
        <w:r w:rsidR="00016820">
          <w:rPr>
            <w:noProof/>
            <w:webHidden/>
          </w:rPr>
          <w:fldChar w:fldCharType="separate"/>
        </w:r>
        <w:r w:rsidR="00016820">
          <w:rPr>
            <w:noProof/>
            <w:webHidden/>
          </w:rPr>
          <w:t>4</w:t>
        </w:r>
        <w:r w:rsidR="00016820">
          <w:rPr>
            <w:noProof/>
            <w:webHidden/>
          </w:rPr>
          <w:fldChar w:fldCharType="end"/>
        </w:r>
      </w:hyperlink>
    </w:p>
    <w:p w14:paraId="020E98DB" w14:textId="27D69D6A" w:rsidR="00016820" w:rsidRDefault="00891D29">
      <w:pPr>
        <w:pStyle w:val="TOC1"/>
        <w:tabs>
          <w:tab w:val="left" w:pos="440"/>
          <w:tab w:val="right" w:leader="dot" w:pos="9016"/>
        </w:tabs>
        <w:rPr>
          <w:rFonts w:eastAsiaTheme="minorEastAsia"/>
          <w:noProof/>
          <w:lang w:eastAsia="en-AU"/>
        </w:rPr>
      </w:pPr>
      <w:hyperlink w:anchor="_Toc113549361" w:history="1">
        <w:r w:rsidR="00016820" w:rsidRPr="00A60A93">
          <w:rPr>
            <w:rStyle w:val="Hyperlink"/>
            <w:rFonts w:ascii="Arial" w:hAnsi="Arial" w:cs="Arial"/>
            <w:noProof/>
          </w:rPr>
          <w:t>4</w:t>
        </w:r>
        <w:r w:rsidR="00016820">
          <w:rPr>
            <w:rFonts w:eastAsiaTheme="minorEastAsia"/>
            <w:noProof/>
            <w:lang w:eastAsia="en-AU"/>
          </w:rPr>
          <w:tab/>
        </w:r>
        <w:r w:rsidR="00016820" w:rsidRPr="00A60A93">
          <w:rPr>
            <w:rStyle w:val="Hyperlink"/>
            <w:rFonts w:ascii="Arial" w:hAnsi="Arial" w:cs="Arial"/>
            <w:noProof/>
          </w:rPr>
          <w:t>Project Eligibility</w:t>
        </w:r>
        <w:r w:rsidR="00016820">
          <w:rPr>
            <w:noProof/>
            <w:webHidden/>
          </w:rPr>
          <w:tab/>
        </w:r>
        <w:r w:rsidR="00016820">
          <w:rPr>
            <w:noProof/>
            <w:webHidden/>
          </w:rPr>
          <w:fldChar w:fldCharType="begin"/>
        </w:r>
        <w:r w:rsidR="00016820">
          <w:rPr>
            <w:noProof/>
            <w:webHidden/>
          </w:rPr>
          <w:instrText xml:space="preserve"> PAGEREF _Toc113549361 \h </w:instrText>
        </w:r>
        <w:r w:rsidR="00016820">
          <w:rPr>
            <w:noProof/>
            <w:webHidden/>
          </w:rPr>
        </w:r>
        <w:r w:rsidR="00016820">
          <w:rPr>
            <w:noProof/>
            <w:webHidden/>
          </w:rPr>
          <w:fldChar w:fldCharType="separate"/>
        </w:r>
        <w:r w:rsidR="00016820">
          <w:rPr>
            <w:noProof/>
            <w:webHidden/>
          </w:rPr>
          <w:t>5</w:t>
        </w:r>
        <w:r w:rsidR="00016820">
          <w:rPr>
            <w:noProof/>
            <w:webHidden/>
          </w:rPr>
          <w:fldChar w:fldCharType="end"/>
        </w:r>
      </w:hyperlink>
    </w:p>
    <w:p w14:paraId="050ABFE3" w14:textId="5DB39403" w:rsidR="00016820" w:rsidRDefault="00891D29">
      <w:pPr>
        <w:pStyle w:val="TOC2"/>
        <w:tabs>
          <w:tab w:val="left" w:pos="880"/>
          <w:tab w:val="right" w:leader="dot" w:pos="9016"/>
        </w:tabs>
        <w:rPr>
          <w:rFonts w:eastAsiaTheme="minorEastAsia"/>
          <w:noProof/>
          <w:lang w:eastAsia="en-AU"/>
        </w:rPr>
      </w:pPr>
      <w:hyperlink w:anchor="_Toc113549362" w:history="1">
        <w:r w:rsidR="00016820" w:rsidRPr="00A60A93">
          <w:rPr>
            <w:rStyle w:val="Hyperlink"/>
            <w:rFonts w:ascii="Arial" w:hAnsi="Arial" w:cs="Arial"/>
            <w:noProof/>
          </w:rPr>
          <w:t>4.1</w:t>
        </w:r>
        <w:r w:rsidR="00016820">
          <w:rPr>
            <w:rFonts w:eastAsiaTheme="minorEastAsia"/>
            <w:noProof/>
            <w:lang w:eastAsia="en-AU"/>
          </w:rPr>
          <w:tab/>
        </w:r>
        <w:r w:rsidR="00016820" w:rsidRPr="00A60A93">
          <w:rPr>
            <w:rStyle w:val="Hyperlink"/>
            <w:rFonts w:ascii="Arial" w:hAnsi="Arial" w:cs="Arial"/>
            <w:noProof/>
          </w:rPr>
          <w:t>Curriculum design and delivery</w:t>
        </w:r>
        <w:r w:rsidR="00016820">
          <w:rPr>
            <w:noProof/>
            <w:webHidden/>
          </w:rPr>
          <w:tab/>
        </w:r>
        <w:r w:rsidR="00016820">
          <w:rPr>
            <w:noProof/>
            <w:webHidden/>
          </w:rPr>
          <w:fldChar w:fldCharType="begin"/>
        </w:r>
        <w:r w:rsidR="00016820">
          <w:rPr>
            <w:noProof/>
            <w:webHidden/>
          </w:rPr>
          <w:instrText xml:space="preserve"> PAGEREF _Toc113549362 \h </w:instrText>
        </w:r>
        <w:r w:rsidR="00016820">
          <w:rPr>
            <w:noProof/>
            <w:webHidden/>
          </w:rPr>
        </w:r>
        <w:r w:rsidR="00016820">
          <w:rPr>
            <w:noProof/>
            <w:webHidden/>
          </w:rPr>
          <w:fldChar w:fldCharType="separate"/>
        </w:r>
        <w:r w:rsidR="00016820">
          <w:rPr>
            <w:noProof/>
            <w:webHidden/>
          </w:rPr>
          <w:t>5</w:t>
        </w:r>
        <w:r w:rsidR="00016820">
          <w:rPr>
            <w:noProof/>
            <w:webHidden/>
          </w:rPr>
          <w:fldChar w:fldCharType="end"/>
        </w:r>
      </w:hyperlink>
    </w:p>
    <w:p w14:paraId="08700F08" w14:textId="4EDF6E64" w:rsidR="00016820" w:rsidRDefault="00891D29">
      <w:pPr>
        <w:pStyle w:val="TOC2"/>
        <w:tabs>
          <w:tab w:val="left" w:pos="880"/>
          <w:tab w:val="right" w:leader="dot" w:pos="9016"/>
        </w:tabs>
        <w:rPr>
          <w:rFonts w:eastAsiaTheme="minorEastAsia"/>
          <w:noProof/>
          <w:lang w:eastAsia="en-AU"/>
        </w:rPr>
      </w:pPr>
      <w:hyperlink w:anchor="_Toc113549363" w:history="1">
        <w:r w:rsidR="00016820" w:rsidRPr="00A60A93">
          <w:rPr>
            <w:rStyle w:val="Hyperlink"/>
            <w:rFonts w:ascii="Arial" w:hAnsi="Arial" w:cs="Arial"/>
            <w:noProof/>
          </w:rPr>
          <w:t>4.2</w:t>
        </w:r>
        <w:r w:rsidR="00016820">
          <w:rPr>
            <w:rFonts w:eastAsiaTheme="minorEastAsia"/>
            <w:noProof/>
            <w:lang w:eastAsia="en-AU"/>
          </w:rPr>
          <w:tab/>
        </w:r>
        <w:r w:rsidR="00016820" w:rsidRPr="00A60A93">
          <w:rPr>
            <w:rStyle w:val="Hyperlink"/>
            <w:rFonts w:ascii="Arial" w:hAnsi="Arial" w:cs="Arial"/>
            <w:noProof/>
          </w:rPr>
          <w:t>Equipment, technology and capital refurbishment</w:t>
        </w:r>
        <w:r w:rsidR="00016820">
          <w:rPr>
            <w:noProof/>
            <w:webHidden/>
          </w:rPr>
          <w:tab/>
        </w:r>
        <w:r w:rsidR="00016820">
          <w:rPr>
            <w:noProof/>
            <w:webHidden/>
          </w:rPr>
          <w:fldChar w:fldCharType="begin"/>
        </w:r>
        <w:r w:rsidR="00016820">
          <w:rPr>
            <w:noProof/>
            <w:webHidden/>
          </w:rPr>
          <w:instrText xml:space="preserve"> PAGEREF _Toc113549363 \h </w:instrText>
        </w:r>
        <w:r w:rsidR="00016820">
          <w:rPr>
            <w:noProof/>
            <w:webHidden/>
          </w:rPr>
        </w:r>
        <w:r w:rsidR="00016820">
          <w:rPr>
            <w:noProof/>
            <w:webHidden/>
          </w:rPr>
          <w:fldChar w:fldCharType="separate"/>
        </w:r>
        <w:r w:rsidR="00016820">
          <w:rPr>
            <w:noProof/>
            <w:webHidden/>
          </w:rPr>
          <w:t>6</w:t>
        </w:r>
        <w:r w:rsidR="00016820">
          <w:rPr>
            <w:noProof/>
            <w:webHidden/>
          </w:rPr>
          <w:fldChar w:fldCharType="end"/>
        </w:r>
      </w:hyperlink>
    </w:p>
    <w:p w14:paraId="4DFD6CC7" w14:textId="75350EB8" w:rsidR="00016820" w:rsidRDefault="00891D29">
      <w:pPr>
        <w:pStyle w:val="TOC2"/>
        <w:tabs>
          <w:tab w:val="left" w:pos="880"/>
          <w:tab w:val="right" w:leader="dot" w:pos="9016"/>
        </w:tabs>
        <w:rPr>
          <w:rFonts w:eastAsiaTheme="minorEastAsia"/>
          <w:noProof/>
          <w:lang w:eastAsia="en-AU"/>
        </w:rPr>
      </w:pPr>
      <w:hyperlink w:anchor="_Toc113549364" w:history="1">
        <w:r w:rsidR="00016820" w:rsidRPr="00A60A93">
          <w:rPr>
            <w:rStyle w:val="Hyperlink"/>
            <w:rFonts w:ascii="Arial" w:hAnsi="Arial" w:cs="Arial"/>
            <w:noProof/>
          </w:rPr>
          <w:t>4.3</w:t>
        </w:r>
        <w:r w:rsidR="00016820">
          <w:rPr>
            <w:rFonts w:eastAsiaTheme="minorEastAsia"/>
            <w:noProof/>
            <w:lang w:eastAsia="en-AU"/>
          </w:rPr>
          <w:tab/>
        </w:r>
        <w:r w:rsidR="00016820" w:rsidRPr="00A60A93">
          <w:rPr>
            <w:rStyle w:val="Hyperlink"/>
            <w:rFonts w:ascii="Arial" w:hAnsi="Arial" w:cs="Arial"/>
            <w:noProof/>
          </w:rPr>
          <w:t>Other costs</w:t>
        </w:r>
        <w:r w:rsidR="00016820">
          <w:rPr>
            <w:noProof/>
            <w:webHidden/>
          </w:rPr>
          <w:tab/>
        </w:r>
        <w:r w:rsidR="00016820">
          <w:rPr>
            <w:noProof/>
            <w:webHidden/>
          </w:rPr>
          <w:fldChar w:fldCharType="begin"/>
        </w:r>
        <w:r w:rsidR="00016820">
          <w:rPr>
            <w:noProof/>
            <w:webHidden/>
          </w:rPr>
          <w:instrText xml:space="preserve"> PAGEREF _Toc113549364 \h </w:instrText>
        </w:r>
        <w:r w:rsidR="00016820">
          <w:rPr>
            <w:noProof/>
            <w:webHidden/>
          </w:rPr>
        </w:r>
        <w:r w:rsidR="00016820">
          <w:rPr>
            <w:noProof/>
            <w:webHidden/>
          </w:rPr>
          <w:fldChar w:fldCharType="separate"/>
        </w:r>
        <w:r w:rsidR="00016820">
          <w:rPr>
            <w:noProof/>
            <w:webHidden/>
          </w:rPr>
          <w:t>6</w:t>
        </w:r>
        <w:r w:rsidR="00016820">
          <w:rPr>
            <w:noProof/>
            <w:webHidden/>
          </w:rPr>
          <w:fldChar w:fldCharType="end"/>
        </w:r>
      </w:hyperlink>
    </w:p>
    <w:p w14:paraId="0E42F8CC" w14:textId="30A1DF37" w:rsidR="00016820" w:rsidRDefault="00891D29">
      <w:pPr>
        <w:pStyle w:val="TOC2"/>
        <w:tabs>
          <w:tab w:val="left" w:pos="880"/>
          <w:tab w:val="right" w:leader="dot" w:pos="9016"/>
        </w:tabs>
        <w:rPr>
          <w:rFonts w:eastAsiaTheme="minorEastAsia"/>
          <w:noProof/>
          <w:lang w:eastAsia="en-AU"/>
        </w:rPr>
      </w:pPr>
      <w:hyperlink w:anchor="_Toc113549365" w:history="1">
        <w:r w:rsidR="00016820" w:rsidRPr="00A60A93">
          <w:rPr>
            <w:rStyle w:val="Hyperlink"/>
            <w:rFonts w:ascii="Arial" w:hAnsi="Arial" w:cs="Arial"/>
            <w:noProof/>
          </w:rPr>
          <w:t>4.4</w:t>
        </w:r>
        <w:r w:rsidR="00016820">
          <w:rPr>
            <w:rFonts w:eastAsiaTheme="minorEastAsia"/>
            <w:noProof/>
            <w:lang w:eastAsia="en-AU"/>
          </w:rPr>
          <w:tab/>
        </w:r>
        <w:r w:rsidR="00016820" w:rsidRPr="00A60A93">
          <w:rPr>
            <w:rStyle w:val="Hyperlink"/>
            <w:rFonts w:ascii="Arial" w:hAnsi="Arial" w:cs="Arial"/>
            <w:noProof/>
          </w:rPr>
          <w:t>Ineligible expenses</w:t>
        </w:r>
        <w:r w:rsidR="00016820">
          <w:rPr>
            <w:noProof/>
            <w:webHidden/>
          </w:rPr>
          <w:tab/>
        </w:r>
        <w:r w:rsidR="00016820">
          <w:rPr>
            <w:noProof/>
            <w:webHidden/>
          </w:rPr>
          <w:fldChar w:fldCharType="begin"/>
        </w:r>
        <w:r w:rsidR="00016820">
          <w:rPr>
            <w:noProof/>
            <w:webHidden/>
          </w:rPr>
          <w:instrText xml:space="preserve"> PAGEREF _Toc113549365 \h </w:instrText>
        </w:r>
        <w:r w:rsidR="00016820">
          <w:rPr>
            <w:noProof/>
            <w:webHidden/>
          </w:rPr>
        </w:r>
        <w:r w:rsidR="00016820">
          <w:rPr>
            <w:noProof/>
            <w:webHidden/>
          </w:rPr>
          <w:fldChar w:fldCharType="separate"/>
        </w:r>
        <w:r w:rsidR="00016820">
          <w:rPr>
            <w:noProof/>
            <w:webHidden/>
          </w:rPr>
          <w:t>6</w:t>
        </w:r>
        <w:r w:rsidR="00016820">
          <w:rPr>
            <w:noProof/>
            <w:webHidden/>
          </w:rPr>
          <w:fldChar w:fldCharType="end"/>
        </w:r>
      </w:hyperlink>
    </w:p>
    <w:p w14:paraId="3A4F6946" w14:textId="0D37C996" w:rsidR="00016820" w:rsidRDefault="00891D29">
      <w:pPr>
        <w:pStyle w:val="TOC2"/>
        <w:tabs>
          <w:tab w:val="left" w:pos="880"/>
          <w:tab w:val="right" w:leader="dot" w:pos="9016"/>
        </w:tabs>
        <w:rPr>
          <w:rFonts w:eastAsiaTheme="minorEastAsia"/>
          <w:noProof/>
          <w:lang w:eastAsia="en-AU"/>
        </w:rPr>
      </w:pPr>
      <w:hyperlink w:anchor="_Toc113549366" w:history="1">
        <w:r w:rsidR="00016820" w:rsidRPr="00A60A93">
          <w:rPr>
            <w:rStyle w:val="Hyperlink"/>
            <w:rFonts w:ascii="Arial" w:hAnsi="Arial" w:cs="Arial"/>
            <w:noProof/>
          </w:rPr>
          <w:t>4.5</w:t>
        </w:r>
        <w:r w:rsidR="00016820">
          <w:rPr>
            <w:rFonts w:eastAsiaTheme="minorEastAsia"/>
            <w:noProof/>
            <w:lang w:eastAsia="en-AU"/>
          </w:rPr>
          <w:tab/>
        </w:r>
        <w:r w:rsidR="00016820" w:rsidRPr="00A60A93">
          <w:rPr>
            <w:rStyle w:val="Hyperlink"/>
            <w:rFonts w:ascii="Arial" w:hAnsi="Arial" w:cs="Arial"/>
            <w:noProof/>
          </w:rPr>
          <w:t>Illustrative examples of projects</w:t>
        </w:r>
        <w:r w:rsidR="00016820">
          <w:rPr>
            <w:noProof/>
            <w:webHidden/>
          </w:rPr>
          <w:tab/>
        </w:r>
        <w:r w:rsidR="00016820">
          <w:rPr>
            <w:noProof/>
            <w:webHidden/>
          </w:rPr>
          <w:fldChar w:fldCharType="begin"/>
        </w:r>
        <w:r w:rsidR="00016820">
          <w:rPr>
            <w:noProof/>
            <w:webHidden/>
          </w:rPr>
          <w:instrText xml:space="preserve"> PAGEREF _Toc113549366 \h </w:instrText>
        </w:r>
        <w:r w:rsidR="00016820">
          <w:rPr>
            <w:noProof/>
            <w:webHidden/>
          </w:rPr>
        </w:r>
        <w:r w:rsidR="00016820">
          <w:rPr>
            <w:noProof/>
            <w:webHidden/>
          </w:rPr>
          <w:fldChar w:fldCharType="separate"/>
        </w:r>
        <w:r w:rsidR="00016820">
          <w:rPr>
            <w:noProof/>
            <w:webHidden/>
          </w:rPr>
          <w:t>7</w:t>
        </w:r>
        <w:r w:rsidR="00016820">
          <w:rPr>
            <w:noProof/>
            <w:webHidden/>
          </w:rPr>
          <w:fldChar w:fldCharType="end"/>
        </w:r>
      </w:hyperlink>
    </w:p>
    <w:p w14:paraId="138680FE" w14:textId="7CB8427B" w:rsidR="00016820" w:rsidRDefault="00891D29">
      <w:pPr>
        <w:pStyle w:val="TOC1"/>
        <w:tabs>
          <w:tab w:val="left" w:pos="440"/>
          <w:tab w:val="right" w:leader="dot" w:pos="9016"/>
        </w:tabs>
        <w:rPr>
          <w:rFonts w:eastAsiaTheme="minorEastAsia"/>
          <w:noProof/>
          <w:lang w:eastAsia="en-AU"/>
        </w:rPr>
      </w:pPr>
      <w:hyperlink w:anchor="_Toc113549367" w:history="1">
        <w:r w:rsidR="00016820" w:rsidRPr="00A60A93">
          <w:rPr>
            <w:rStyle w:val="Hyperlink"/>
            <w:rFonts w:ascii="Arial" w:hAnsi="Arial" w:cs="Arial"/>
            <w:noProof/>
          </w:rPr>
          <w:t>5</w:t>
        </w:r>
        <w:r w:rsidR="00016820">
          <w:rPr>
            <w:rFonts w:eastAsiaTheme="minorEastAsia"/>
            <w:noProof/>
            <w:lang w:eastAsia="en-AU"/>
          </w:rPr>
          <w:tab/>
        </w:r>
        <w:r w:rsidR="00016820" w:rsidRPr="00A60A93">
          <w:rPr>
            <w:rStyle w:val="Hyperlink"/>
            <w:rFonts w:ascii="Arial" w:hAnsi="Arial" w:cs="Arial"/>
            <w:noProof/>
          </w:rPr>
          <w:t>Assessment Process</w:t>
        </w:r>
        <w:r w:rsidR="00016820">
          <w:rPr>
            <w:noProof/>
            <w:webHidden/>
          </w:rPr>
          <w:tab/>
        </w:r>
        <w:r w:rsidR="00016820">
          <w:rPr>
            <w:noProof/>
            <w:webHidden/>
          </w:rPr>
          <w:fldChar w:fldCharType="begin"/>
        </w:r>
        <w:r w:rsidR="00016820">
          <w:rPr>
            <w:noProof/>
            <w:webHidden/>
          </w:rPr>
          <w:instrText xml:space="preserve"> PAGEREF _Toc113549367 \h </w:instrText>
        </w:r>
        <w:r w:rsidR="00016820">
          <w:rPr>
            <w:noProof/>
            <w:webHidden/>
          </w:rPr>
        </w:r>
        <w:r w:rsidR="00016820">
          <w:rPr>
            <w:noProof/>
            <w:webHidden/>
          </w:rPr>
          <w:fldChar w:fldCharType="separate"/>
        </w:r>
        <w:r w:rsidR="00016820">
          <w:rPr>
            <w:noProof/>
            <w:webHidden/>
          </w:rPr>
          <w:t>8</w:t>
        </w:r>
        <w:r w:rsidR="00016820">
          <w:rPr>
            <w:noProof/>
            <w:webHidden/>
          </w:rPr>
          <w:fldChar w:fldCharType="end"/>
        </w:r>
      </w:hyperlink>
    </w:p>
    <w:p w14:paraId="2A0F4C98" w14:textId="73EBBD5D" w:rsidR="00016820" w:rsidRDefault="00891D29">
      <w:pPr>
        <w:pStyle w:val="TOC2"/>
        <w:tabs>
          <w:tab w:val="left" w:pos="880"/>
          <w:tab w:val="right" w:leader="dot" w:pos="9016"/>
        </w:tabs>
        <w:rPr>
          <w:rFonts w:eastAsiaTheme="minorEastAsia"/>
          <w:noProof/>
          <w:lang w:eastAsia="en-AU"/>
        </w:rPr>
      </w:pPr>
      <w:hyperlink w:anchor="_Toc113549368" w:history="1">
        <w:r w:rsidR="00016820" w:rsidRPr="00A60A93">
          <w:rPr>
            <w:rStyle w:val="Hyperlink"/>
            <w:rFonts w:ascii="Arial" w:hAnsi="Arial" w:cs="Arial"/>
            <w:noProof/>
          </w:rPr>
          <w:t>5.1</w:t>
        </w:r>
        <w:r w:rsidR="00016820">
          <w:rPr>
            <w:rFonts w:eastAsiaTheme="minorEastAsia"/>
            <w:noProof/>
            <w:lang w:eastAsia="en-AU"/>
          </w:rPr>
          <w:tab/>
        </w:r>
        <w:r w:rsidR="00016820" w:rsidRPr="00A60A93">
          <w:rPr>
            <w:rStyle w:val="Hyperlink"/>
            <w:rFonts w:ascii="Arial" w:hAnsi="Arial" w:cs="Arial"/>
            <w:noProof/>
          </w:rPr>
          <w:t>Assessment Criteria</w:t>
        </w:r>
        <w:r w:rsidR="00016820">
          <w:rPr>
            <w:noProof/>
            <w:webHidden/>
          </w:rPr>
          <w:tab/>
        </w:r>
        <w:r w:rsidR="00016820">
          <w:rPr>
            <w:noProof/>
            <w:webHidden/>
          </w:rPr>
          <w:fldChar w:fldCharType="begin"/>
        </w:r>
        <w:r w:rsidR="00016820">
          <w:rPr>
            <w:noProof/>
            <w:webHidden/>
          </w:rPr>
          <w:instrText xml:space="preserve"> PAGEREF _Toc113549368 \h </w:instrText>
        </w:r>
        <w:r w:rsidR="00016820">
          <w:rPr>
            <w:noProof/>
            <w:webHidden/>
          </w:rPr>
        </w:r>
        <w:r w:rsidR="00016820">
          <w:rPr>
            <w:noProof/>
            <w:webHidden/>
          </w:rPr>
          <w:fldChar w:fldCharType="separate"/>
        </w:r>
        <w:r w:rsidR="00016820">
          <w:rPr>
            <w:noProof/>
            <w:webHidden/>
          </w:rPr>
          <w:t>8</w:t>
        </w:r>
        <w:r w:rsidR="00016820">
          <w:rPr>
            <w:noProof/>
            <w:webHidden/>
          </w:rPr>
          <w:fldChar w:fldCharType="end"/>
        </w:r>
      </w:hyperlink>
    </w:p>
    <w:p w14:paraId="27FA1F2A" w14:textId="10B2E967" w:rsidR="00016820" w:rsidRDefault="00891D29">
      <w:pPr>
        <w:pStyle w:val="TOC2"/>
        <w:tabs>
          <w:tab w:val="left" w:pos="880"/>
          <w:tab w:val="right" w:leader="dot" w:pos="9016"/>
        </w:tabs>
        <w:rPr>
          <w:rFonts w:eastAsiaTheme="minorEastAsia"/>
          <w:noProof/>
          <w:lang w:eastAsia="en-AU"/>
        </w:rPr>
      </w:pPr>
      <w:hyperlink w:anchor="_Toc113549369" w:history="1">
        <w:r w:rsidR="00016820" w:rsidRPr="00A60A93">
          <w:rPr>
            <w:rStyle w:val="Hyperlink"/>
            <w:rFonts w:ascii="Arial" w:hAnsi="Arial" w:cs="Arial"/>
            <w:noProof/>
          </w:rPr>
          <w:t>5.2</w:t>
        </w:r>
        <w:r w:rsidR="00016820">
          <w:rPr>
            <w:rFonts w:eastAsiaTheme="minorEastAsia"/>
            <w:noProof/>
            <w:lang w:eastAsia="en-AU"/>
          </w:rPr>
          <w:tab/>
        </w:r>
        <w:r w:rsidR="00016820" w:rsidRPr="00A60A93">
          <w:rPr>
            <w:rStyle w:val="Hyperlink"/>
            <w:rFonts w:ascii="Arial" w:hAnsi="Arial" w:cs="Arial"/>
            <w:noProof/>
          </w:rPr>
          <w:t>Due Diligence Assessments</w:t>
        </w:r>
        <w:r w:rsidR="00016820">
          <w:rPr>
            <w:noProof/>
            <w:webHidden/>
          </w:rPr>
          <w:tab/>
        </w:r>
        <w:r w:rsidR="00016820">
          <w:rPr>
            <w:noProof/>
            <w:webHidden/>
          </w:rPr>
          <w:fldChar w:fldCharType="begin"/>
        </w:r>
        <w:r w:rsidR="00016820">
          <w:rPr>
            <w:noProof/>
            <w:webHidden/>
          </w:rPr>
          <w:instrText xml:space="preserve"> PAGEREF _Toc113549369 \h </w:instrText>
        </w:r>
        <w:r w:rsidR="00016820">
          <w:rPr>
            <w:noProof/>
            <w:webHidden/>
          </w:rPr>
        </w:r>
        <w:r w:rsidR="00016820">
          <w:rPr>
            <w:noProof/>
            <w:webHidden/>
          </w:rPr>
          <w:fldChar w:fldCharType="separate"/>
        </w:r>
        <w:r w:rsidR="00016820">
          <w:rPr>
            <w:noProof/>
            <w:webHidden/>
          </w:rPr>
          <w:t>9</w:t>
        </w:r>
        <w:r w:rsidR="00016820">
          <w:rPr>
            <w:noProof/>
            <w:webHidden/>
          </w:rPr>
          <w:fldChar w:fldCharType="end"/>
        </w:r>
      </w:hyperlink>
    </w:p>
    <w:p w14:paraId="418A4DB9" w14:textId="13D3DC3F" w:rsidR="00016820" w:rsidRDefault="00891D29">
      <w:pPr>
        <w:pStyle w:val="TOC2"/>
        <w:tabs>
          <w:tab w:val="left" w:pos="880"/>
          <w:tab w:val="right" w:leader="dot" w:pos="9016"/>
        </w:tabs>
        <w:rPr>
          <w:rFonts w:eastAsiaTheme="minorEastAsia"/>
          <w:noProof/>
          <w:lang w:eastAsia="en-AU"/>
        </w:rPr>
      </w:pPr>
      <w:hyperlink w:anchor="_Toc113549370" w:history="1">
        <w:r w:rsidR="00016820" w:rsidRPr="00A60A93">
          <w:rPr>
            <w:rStyle w:val="Hyperlink"/>
            <w:rFonts w:ascii="Arial" w:hAnsi="Arial" w:cs="Arial"/>
            <w:noProof/>
          </w:rPr>
          <w:t>5.3</w:t>
        </w:r>
        <w:r w:rsidR="00016820">
          <w:rPr>
            <w:rFonts w:eastAsiaTheme="minorEastAsia"/>
            <w:noProof/>
            <w:lang w:eastAsia="en-AU"/>
          </w:rPr>
          <w:tab/>
        </w:r>
        <w:r w:rsidR="00016820" w:rsidRPr="00A60A93">
          <w:rPr>
            <w:rStyle w:val="Hyperlink"/>
            <w:rFonts w:ascii="Arial" w:hAnsi="Arial" w:cs="Arial"/>
            <w:noProof/>
          </w:rPr>
          <w:t>Financial Risk Assessments</w:t>
        </w:r>
        <w:r w:rsidR="00016820">
          <w:rPr>
            <w:noProof/>
            <w:webHidden/>
          </w:rPr>
          <w:tab/>
        </w:r>
        <w:r w:rsidR="00016820">
          <w:rPr>
            <w:noProof/>
            <w:webHidden/>
          </w:rPr>
          <w:fldChar w:fldCharType="begin"/>
        </w:r>
        <w:r w:rsidR="00016820">
          <w:rPr>
            <w:noProof/>
            <w:webHidden/>
          </w:rPr>
          <w:instrText xml:space="preserve"> PAGEREF _Toc113549370 \h </w:instrText>
        </w:r>
        <w:r w:rsidR="00016820">
          <w:rPr>
            <w:noProof/>
            <w:webHidden/>
          </w:rPr>
        </w:r>
        <w:r w:rsidR="00016820">
          <w:rPr>
            <w:noProof/>
            <w:webHidden/>
          </w:rPr>
          <w:fldChar w:fldCharType="separate"/>
        </w:r>
        <w:r w:rsidR="00016820">
          <w:rPr>
            <w:noProof/>
            <w:webHidden/>
          </w:rPr>
          <w:t>9</w:t>
        </w:r>
        <w:r w:rsidR="00016820">
          <w:rPr>
            <w:noProof/>
            <w:webHidden/>
          </w:rPr>
          <w:fldChar w:fldCharType="end"/>
        </w:r>
      </w:hyperlink>
    </w:p>
    <w:p w14:paraId="71D48646" w14:textId="039A66E4" w:rsidR="00016820" w:rsidRDefault="00891D29">
      <w:pPr>
        <w:pStyle w:val="TOC1"/>
        <w:tabs>
          <w:tab w:val="left" w:pos="440"/>
          <w:tab w:val="right" w:leader="dot" w:pos="9016"/>
        </w:tabs>
        <w:rPr>
          <w:rFonts w:eastAsiaTheme="minorEastAsia"/>
          <w:noProof/>
          <w:lang w:eastAsia="en-AU"/>
        </w:rPr>
      </w:pPr>
      <w:hyperlink w:anchor="_Toc113549371" w:history="1">
        <w:r w:rsidR="00016820" w:rsidRPr="00A60A93">
          <w:rPr>
            <w:rStyle w:val="Hyperlink"/>
            <w:rFonts w:ascii="Arial" w:hAnsi="Arial" w:cs="Arial"/>
            <w:noProof/>
          </w:rPr>
          <w:t>6</w:t>
        </w:r>
        <w:r w:rsidR="00016820">
          <w:rPr>
            <w:rFonts w:eastAsiaTheme="minorEastAsia"/>
            <w:noProof/>
            <w:lang w:eastAsia="en-AU"/>
          </w:rPr>
          <w:tab/>
        </w:r>
        <w:r w:rsidR="00016820" w:rsidRPr="00A60A93">
          <w:rPr>
            <w:rStyle w:val="Hyperlink"/>
            <w:rFonts w:ascii="Arial" w:hAnsi="Arial" w:cs="Arial"/>
            <w:noProof/>
          </w:rPr>
          <w:t>Application Process and Timeline</w:t>
        </w:r>
        <w:r w:rsidR="00016820">
          <w:rPr>
            <w:noProof/>
            <w:webHidden/>
          </w:rPr>
          <w:tab/>
        </w:r>
        <w:r w:rsidR="00016820">
          <w:rPr>
            <w:noProof/>
            <w:webHidden/>
          </w:rPr>
          <w:fldChar w:fldCharType="begin"/>
        </w:r>
        <w:r w:rsidR="00016820">
          <w:rPr>
            <w:noProof/>
            <w:webHidden/>
          </w:rPr>
          <w:instrText xml:space="preserve"> PAGEREF _Toc113549371 \h </w:instrText>
        </w:r>
        <w:r w:rsidR="00016820">
          <w:rPr>
            <w:noProof/>
            <w:webHidden/>
          </w:rPr>
        </w:r>
        <w:r w:rsidR="00016820">
          <w:rPr>
            <w:noProof/>
            <w:webHidden/>
          </w:rPr>
          <w:fldChar w:fldCharType="separate"/>
        </w:r>
        <w:r w:rsidR="00016820">
          <w:rPr>
            <w:noProof/>
            <w:webHidden/>
          </w:rPr>
          <w:t>9</w:t>
        </w:r>
        <w:r w:rsidR="00016820">
          <w:rPr>
            <w:noProof/>
            <w:webHidden/>
          </w:rPr>
          <w:fldChar w:fldCharType="end"/>
        </w:r>
      </w:hyperlink>
    </w:p>
    <w:p w14:paraId="013023FE" w14:textId="2C45F123" w:rsidR="00016820" w:rsidRDefault="00891D29">
      <w:pPr>
        <w:pStyle w:val="TOC2"/>
        <w:tabs>
          <w:tab w:val="left" w:pos="880"/>
          <w:tab w:val="right" w:leader="dot" w:pos="9016"/>
        </w:tabs>
        <w:rPr>
          <w:rFonts w:eastAsiaTheme="minorEastAsia"/>
          <w:noProof/>
          <w:lang w:eastAsia="en-AU"/>
        </w:rPr>
      </w:pPr>
      <w:hyperlink w:anchor="_Toc113549372" w:history="1">
        <w:r w:rsidR="00016820" w:rsidRPr="00A60A93">
          <w:rPr>
            <w:rStyle w:val="Hyperlink"/>
            <w:rFonts w:ascii="Arial" w:hAnsi="Arial" w:cs="Arial"/>
            <w:noProof/>
          </w:rPr>
          <w:t>6.1</w:t>
        </w:r>
        <w:r w:rsidR="00016820">
          <w:rPr>
            <w:rFonts w:eastAsiaTheme="minorEastAsia"/>
            <w:noProof/>
            <w:lang w:eastAsia="en-AU"/>
          </w:rPr>
          <w:tab/>
        </w:r>
        <w:r w:rsidR="00016820" w:rsidRPr="00A60A93">
          <w:rPr>
            <w:rStyle w:val="Hyperlink"/>
            <w:rFonts w:ascii="Arial" w:hAnsi="Arial" w:cs="Arial"/>
            <w:noProof/>
          </w:rPr>
          <w:t>Prepare an Application</w:t>
        </w:r>
        <w:r w:rsidR="00016820">
          <w:rPr>
            <w:noProof/>
            <w:webHidden/>
          </w:rPr>
          <w:tab/>
        </w:r>
        <w:r w:rsidR="00016820">
          <w:rPr>
            <w:noProof/>
            <w:webHidden/>
          </w:rPr>
          <w:fldChar w:fldCharType="begin"/>
        </w:r>
        <w:r w:rsidR="00016820">
          <w:rPr>
            <w:noProof/>
            <w:webHidden/>
          </w:rPr>
          <w:instrText xml:space="preserve"> PAGEREF _Toc113549372 \h </w:instrText>
        </w:r>
        <w:r w:rsidR="00016820">
          <w:rPr>
            <w:noProof/>
            <w:webHidden/>
          </w:rPr>
        </w:r>
        <w:r w:rsidR="00016820">
          <w:rPr>
            <w:noProof/>
            <w:webHidden/>
          </w:rPr>
          <w:fldChar w:fldCharType="separate"/>
        </w:r>
        <w:r w:rsidR="00016820">
          <w:rPr>
            <w:noProof/>
            <w:webHidden/>
          </w:rPr>
          <w:t>9</w:t>
        </w:r>
        <w:r w:rsidR="00016820">
          <w:rPr>
            <w:noProof/>
            <w:webHidden/>
          </w:rPr>
          <w:fldChar w:fldCharType="end"/>
        </w:r>
      </w:hyperlink>
    </w:p>
    <w:p w14:paraId="2EE184CA" w14:textId="6FC89CE0" w:rsidR="00016820" w:rsidRDefault="00891D29">
      <w:pPr>
        <w:pStyle w:val="TOC2"/>
        <w:tabs>
          <w:tab w:val="left" w:pos="880"/>
          <w:tab w:val="right" w:leader="dot" w:pos="9016"/>
        </w:tabs>
        <w:rPr>
          <w:rFonts w:eastAsiaTheme="minorEastAsia"/>
          <w:noProof/>
          <w:lang w:eastAsia="en-AU"/>
        </w:rPr>
      </w:pPr>
      <w:hyperlink w:anchor="_Toc113549373" w:history="1">
        <w:r w:rsidR="00016820" w:rsidRPr="00A60A93">
          <w:rPr>
            <w:rStyle w:val="Hyperlink"/>
            <w:rFonts w:ascii="Arial" w:hAnsi="Arial" w:cs="Arial"/>
            <w:noProof/>
          </w:rPr>
          <w:t>6.2</w:t>
        </w:r>
        <w:r w:rsidR="00016820">
          <w:rPr>
            <w:rFonts w:eastAsiaTheme="minorEastAsia"/>
            <w:noProof/>
            <w:lang w:eastAsia="en-AU"/>
          </w:rPr>
          <w:tab/>
        </w:r>
        <w:r w:rsidR="00016820" w:rsidRPr="00A60A93">
          <w:rPr>
            <w:rStyle w:val="Hyperlink"/>
            <w:rFonts w:ascii="Arial" w:hAnsi="Arial" w:cs="Arial"/>
            <w:noProof/>
          </w:rPr>
          <w:t>Program timeline</w:t>
        </w:r>
        <w:r w:rsidR="00016820">
          <w:rPr>
            <w:noProof/>
            <w:webHidden/>
          </w:rPr>
          <w:tab/>
        </w:r>
        <w:r w:rsidR="00016820">
          <w:rPr>
            <w:noProof/>
            <w:webHidden/>
          </w:rPr>
          <w:fldChar w:fldCharType="begin"/>
        </w:r>
        <w:r w:rsidR="00016820">
          <w:rPr>
            <w:noProof/>
            <w:webHidden/>
          </w:rPr>
          <w:instrText xml:space="preserve"> PAGEREF _Toc113549373 \h </w:instrText>
        </w:r>
        <w:r w:rsidR="00016820">
          <w:rPr>
            <w:noProof/>
            <w:webHidden/>
          </w:rPr>
        </w:r>
        <w:r w:rsidR="00016820">
          <w:rPr>
            <w:noProof/>
            <w:webHidden/>
          </w:rPr>
          <w:fldChar w:fldCharType="separate"/>
        </w:r>
        <w:r w:rsidR="00016820">
          <w:rPr>
            <w:noProof/>
            <w:webHidden/>
          </w:rPr>
          <w:t>10</w:t>
        </w:r>
        <w:r w:rsidR="00016820">
          <w:rPr>
            <w:noProof/>
            <w:webHidden/>
          </w:rPr>
          <w:fldChar w:fldCharType="end"/>
        </w:r>
      </w:hyperlink>
    </w:p>
    <w:p w14:paraId="1CB01819" w14:textId="31DE626C" w:rsidR="00016820" w:rsidRDefault="00891D29">
      <w:pPr>
        <w:pStyle w:val="TOC2"/>
        <w:tabs>
          <w:tab w:val="left" w:pos="880"/>
          <w:tab w:val="right" w:leader="dot" w:pos="9016"/>
        </w:tabs>
        <w:rPr>
          <w:rFonts w:eastAsiaTheme="minorEastAsia"/>
          <w:noProof/>
          <w:lang w:eastAsia="en-AU"/>
        </w:rPr>
      </w:pPr>
      <w:hyperlink w:anchor="_Toc113549374" w:history="1">
        <w:r w:rsidR="00016820" w:rsidRPr="00A60A93">
          <w:rPr>
            <w:rStyle w:val="Hyperlink"/>
            <w:rFonts w:ascii="Arial" w:hAnsi="Arial" w:cs="Arial"/>
            <w:noProof/>
          </w:rPr>
          <w:t>6.3</w:t>
        </w:r>
        <w:r w:rsidR="00016820">
          <w:rPr>
            <w:rFonts w:eastAsiaTheme="minorEastAsia"/>
            <w:noProof/>
            <w:lang w:eastAsia="en-AU"/>
          </w:rPr>
          <w:tab/>
        </w:r>
        <w:r w:rsidR="00016820" w:rsidRPr="00A60A93">
          <w:rPr>
            <w:rStyle w:val="Hyperlink"/>
            <w:rFonts w:ascii="Arial" w:hAnsi="Arial" w:cs="Arial"/>
            <w:noProof/>
          </w:rPr>
          <w:t>Application Support</w:t>
        </w:r>
        <w:r w:rsidR="00016820">
          <w:rPr>
            <w:noProof/>
            <w:webHidden/>
          </w:rPr>
          <w:tab/>
        </w:r>
        <w:r w:rsidR="00016820">
          <w:rPr>
            <w:noProof/>
            <w:webHidden/>
          </w:rPr>
          <w:fldChar w:fldCharType="begin"/>
        </w:r>
        <w:r w:rsidR="00016820">
          <w:rPr>
            <w:noProof/>
            <w:webHidden/>
          </w:rPr>
          <w:instrText xml:space="preserve"> PAGEREF _Toc113549374 \h </w:instrText>
        </w:r>
        <w:r w:rsidR="00016820">
          <w:rPr>
            <w:noProof/>
            <w:webHidden/>
          </w:rPr>
        </w:r>
        <w:r w:rsidR="00016820">
          <w:rPr>
            <w:noProof/>
            <w:webHidden/>
          </w:rPr>
          <w:fldChar w:fldCharType="separate"/>
        </w:r>
        <w:r w:rsidR="00016820">
          <w:rPr>
            <w:noProof/>
            <w:webHidden/>
          </w:rPr>
          <w:t>10</w:t>
        </w:r>
        <w:r w:rsidR="00016820">
          <w:rPr>
            <w:noProof/>
            <w:webHidden/>
          </w:rPr>
          <w:fldChar w:fldCharType="end"/>
        </w:r>
      </w:hyperlink>
    </w:p>
    <w:p w14:paraId="2A99267A" w14:textId="4A52F60D" w:rsidR="00016820" w:rsidRDefault="00891D29">
      <w:pPr>
        <w:pStyle w:val="TOC1"/>
        <w:tabs>
          <w:tab w:val="left" w:pos="440"/>
          <w:tab w:val="right" w:leader="dot" w:pos="9016"/>
        </w:tabs>
        <w:rPr>
          <w:rFonts w:eastAsiaTheme="minorEastAsia"/>
          <w:noProof/>
          <w:lang w:eastAsia="en-AU"/>
        </w:rPr>
      </w:pPr>
      <w:hyperlink w:anchor="_Toc113549375" w:history="1">
        <w:r w:rsidR="00016820" w:rsidRPr="00A60A93">
          <w:rPr>
            <w:rStyle w:val="Hyperlink"/>
            <w:rFonts w:ascii="Arial" w:hAnsi="Arial" w:cs="Arial"/>
            <w:noProof/>
          </w:rPr>
          <w:t>7</w:t>
        </w:r>
        <w:r w:rsidR="00016820">
          <w:rPr>
            <w:rFonts w:eastAsiaTheme="minorEastAsia"/>
            <w:noProof/>
            <w:lang w:eastAsia="en-AU"/>
          </w:rPr>
          <w:tab/>
        </w:r>
        <w:r w:rsidR="00016820" w:rsidRPr="00A60A93">
          <w:rPr>
            <w:rStyle w:val="Hyperlink"/>
            <w:rFonts w:ascii="Arial" w:hAnsi="Arial" w:cs="Arial"/>
            <w:noProof/>
          </w:rPr>
          <w:t>Conditions of Funding</w:t>
        </w:r>
        <w:r w:rsidR="00016820">
          <w:rPr>
            <w:noProof/>
            <w:webHidden/>
          </w:rPr>
          <w:tab/>
        </w:r>
        <w:r w:rsidR="00016820">
          <w:rPr>
            <w:noProof/>
            <w:webHidden/>
          </w:rPr>
          <w:fldChar w:fldCharType="begin"/>
        </w:r>
        <w:r w:rsidR="00016820">
          <w:rPr>
            <w:noProof/>
            <w:webHidden/>
          </w:rPr>
          <w:instrText xml:space="preserve"> PAGEREF _Toc113549375 \h </w:instrText>
        </w:r>
        <w:r w:rsidR="00016820">
          <w:rPr>
            <w:noProof/>
            <w:webHidden/>
          </w:rPr>
        </w:r>
        <w:r w:rsidR="00016820">
          <w:rPr>
            <w:noProof/>
            <w:webHidden/>
          </w:rPr>
          <w:fldChar w:fldCharType="separate"/>
        </w:r>
        <w:r w:rsidR="00016820">
          <w:rPr>
            <w:noProof/>
            <w:webHidden/>
          </w:rPr>
          <w:t>10</w:t>
        </w:r>
        <w:r w:rsidR="00016820">
          <w:rPr>
            <w:noProof/>
            <w:webHidden/>
          </w:rPr>
          <w:fldChar w:fldCharType="end"/>
        </w:r>
      </w:hyperlink>
    </w:p>
    <w:p w14:paraId="5065D8AB" w14:textId="2F48AC2E" w:rsidR="00016820" w:rsidRDefault="00891D29">
      <w:pPr>
        <w:pStyle w:val="TOC2"/>
        <w:tabs>
          <w:tab w:val="left" w:pos="880"/>
          <w:tab w:val="right" w:leader="dot" w:pos="9016"/>
        </w:tabs>
        <w:rPr>
          <w:rFonts w:eastAsiaTheme="minorEastAsia"/>
          <w:noProof/>
          <w:lang w:eastAsia="en-AU"/>
        </w:rPr>
      </w:pPr>
      <w:hyperlink w:anchor="_Toc113549376" w:history="1">
        <w:r w:rsidR="00016820" w:rsidRPr="00A60A93">
          <w:rPr>
            <w:rStyle w:val="Hyperlink"/>
            <w:rFonts w:ascii="Arial" w:hAnsi="Arial" w:cs="Arial"/>
            <w:noProof/>
          </w:rPr>
          <w:t>7.1</w:t>
        </w:r>
        <w:r w:rsidR="00016820">
          <w:rPr>
            <w:rFonts w:eastAsiaTheme="minorEastAsia"/>
            <w:noProof/>
            <w:lang w:eastAsia="en-AU"/>
          </w:rPr>
          <w:tab/>
        </w:r>
        <w:r w:rsidR="00016820" w:rsidRPr="00A60A93">
          <w:rPr>
            <w:rStyle w:val="Hyperlink"/>
            <w:rFonts w:ascii="Arial" w:hAnsi="Arial" w:cs="Arial"/>
            <w:noProof/>
          </w:rPr>
          <w:t>Grant Agreements</w:t>
        </w:r>
        <w:r w:rsidR="00016820">
          <w:rPr>
            <w:noProof/>
            <w:webHidden/>
          </w:rPr>
          <w:tab/>
        </w:r>
        <w:r w:rsidR="00016820">
          <w:rPr>
            <w:noProof/>
            <w:webHidden/>
          </w:rPr>
          <w:fldChar w:fldCharType="begin"/>
        </w:r>
        <w:r w:rsidR="00016820">
          <w:rPr>
            <w:noProof/>
            <w:webHidden/>
          </w:rPr>
          <w:instrText xml:space="preserve"> PAGEREF _Toc113549376 \h </w:instrText>
        </w:r>
        <w:r w:rsidR="00016820">
          <w:rPr>
            <w:noProof/>
            <w:webHidden/>
          </w:rPr>
        </w:r>
        <w:r w:rsidR="00016820">
          <w:rPr>
            <w:noProof/>
            <w:webHidden/>
          </w:rPr>
          <w:fldChar w:fldCharType="separate"/>
        </w:r>
        <w:r w:rsidR="00016820">
          <w:rPr>
            <w:noProof/>
            <w:webHidden/>
          </w:rPr>
          <w:t>10</w:t>
        </w:r>
        <w:r w:rsidR="00016820">
          <w:rPr>
            <w:noProof/>
            <w:webHidden/>
          </w:rPr>
          <w:fldChar w:fldCharType="end"/>
        </w:r>
      </w:hyperlink>
    </w:p>
    <w:p w14:paraId="6E35FF1C" w14:textId="560248DC" w:rsidR="00016820" w:rsidRDefault="00891D29">
      <w:pPr>
        <w:pStyle w:val="TOC2"/>
        <w:tabs>
          <w:tab w:val="left" w:pos="880"/>
          <w:tab w:val="right" w:leader="dot" w:pos="9016"/>
        </w:tabs>
        <w:rPr>
          <w:rFonts w:eastAsiaTheme="minorEastAsia"/>
          <w:noProof/>
          <w:lang w:eastAsia="en-AU"/>
        </w:rPr>
      </w:pPr>
      <w:hyperlink w:anchor="_Toc113549377" w:history="1">
        <w:r w:rsidR="00016820" w:rsidRPr="00A60A93">
          <w:rPr>
            <w:rStyle w:val="Hyperlink"/>
            <w:rFonts w:ascii="Arial" w:hAnsi="Arial" w:cs="Arial"/>
            <w:noProof/>
          </w:rPr>
          <w:t>7.2</w:t>
        </w:r>
        <w:r w:rsidR="00016820">
          <w:rPr>
            <w:rFonts w:eastAsiaTheme="minorEastAsia"/>
            <w:noProof/>
            <w:lang w:eastAsia="en-AU"/>
          </w:rPr>
          <w:tab/>
        </w:r>
        <w:r w:rsidR="00016820" w:rsidRPr="00A60A93">
          <w:rPr>
            <w:rStyle w:val="Hyperlink"/>
            <w:rFonts w:ascii="Arial" w:hAnsi="Arial" w:cs="Arial"/>
            <w:noProof/>
          </w:rPr>
          <w:t>Intellectual Property of Learning Resources</w:t>
        </w:r>
        <w:r w:rsidR="00016820">
          <w:rPr>
            <w:noProof/>
            <w:webHidden/>
          </w:rPr>
          <w:tab/>
        </w:r>
        <w:r w:rsidR="00016820">
          <w:rPr>
            <w:noProof/>
            <w:webHidden/>
          </w:rPr>
          <w:fldChar w:fldCharType="begin"/>
        </w:r>
        <w:r w:rsidR="00016820">
          <w:rPr>
            <w:noProof/>
            <w:webHidden/>
          </w:rPr>
          <w:instrText xml:space="preserve"> PAGEREF _Toc113549377 \h </w:instrText>
        </w:r>
        <w:r w:rsidR="00016820">
          <w:rPr>
            <w:noProof/>
            <w:webHidden/>
          </w:rPr>
        </w:r>
        <w:r w:rsidR="00016820">
          <w:rPr>
            <w:noProof/>
            <w:webHidden/>
          </w:rPr>
          <w:fldChar w:fldCharType="separate"/>
        </w:r>
        <w:r w:rsidR="00016820">
          <w:rPr>
            <w:noProof/>
            <w:webHidden/>
          </w:rPr>
          <w:t>10</w:t>
        </w:r>
        <w:r w:rsidR="00016820">
          <w:rPr>
            <w:noProof/>
            <w:webHidden/>
          </w:rPr>
          <w:fldChar w:fldCharType="end"/>
        </w:r>
      </w:hyperlink>
    </w:p>
    <w:p w14:paraId="2888B562" w14:textId="5C31061F" w:rsidR="00016820" w:rsidRDefault="00891D29">
      <w:pPr>
        <w:pStyle w:val="TOC2"/>
        <w:tabs>
          <w:tab w:val="left" w:pos="880"/>
          <w:tab w:val="right" w:leader="dot" w:pos="9016"/>
        </w:tabs>
        <w:rPr>
          <w:rFonts w:eastAsiaTheme="minorEastAsia"/>
          <w:noProof/>
          <w:lang w:eastAsia="en-AU"/>
        </w:rPr>
      </w:pPr>
      <w:hyperlink w:anchor="_Toc113549378" w:history="1">
        <w:r w:rsidR="00016820" w:rsidRPr="00A60A93">
          <w:rPr>
            <w:rStyle w:val="Hyperlink"/>
            <w:rFonts w:ascii="Arial" w:hAnsi="Arial" w:cs="Arial"/>
            <w:noProof/>
          </w:rPr>
          <w:t>7.3</w:t>
        </w:r>
        <w:r w:rsidR="00016820">
          <w:rPr>
            <w:rFonts w:eastAsiaTheme="minorEastAsia"/>
            <w:noProof/>
            <w:lang w:eastAsia="en-AU"/>
          </w:rPr>
          <w:tab/>
        </w:r>
        <w:r w:rsidR="00016820" w:rsidRPr="00A60A93">
          <w:rPr>
            <w:rStyle w:val="Hyperlink"/>
            <w:rFonts w:ascii="Arial" w:hAnsi="Arial" w:cs="Arial"/>
            <w:noProof/>
          </w:rPr>
          <w:t>Other Conditions</w:t>
        </w:r>
        <w:r w:rsidR="00016820">
          <w:rPr>
            <w:noProof/>
            <w:webHidden/>
          </w:rPr>
          <w:tab/>
        </w:r>
        <w:r w:rsidR="00016820">
          <w:rPr>
            <w:noProof/>
            <w:webHidden/>
          </w:rPr>
          <w:fldChar w:fldCharType="begin"/>
        </w:r>
        <w:r w:rsidR="00016820">
          <w:rPr>
            <w:noProof/>
            <w:webHidden/>
          </w:rPr>
          <w:instrText xml:space="preserve"> PAGEREF _Toc113549378 \h </w:instrText>
        </w:r>
        <w:r w:rsidR="00016820">
          <w:rPr>
            <w:noProof/>
            <w:webHidden/>
          </w:rPr>
        </w:r>
        <w:r w:rsidR="00016820">
          <w:rPr>
            <w:noProof/>
            <w:webHidden/>
          </w:rPr>
          <w:fldChar w:fldCharType="separate"/>
        </w:r>
        <w:r w:rsidR="00016820">
          <w:rPr>
            <w:noProof/>
            <w:webHidden/>
          </w:rPr>
          <w:t>11</w:t>
        </w:r>
        <w:r w:rsidR="00016820">
          <w:rPr>
            <w:noProof/>
            <w:webHidden/>
          </w:rPr>
          <w:fldChar w:fldCharType="end"/>
        </w:r>
      </w:hyperlink>
    </w:p>
    <w:p w14:paraId="1FA32CC5" w14:textId="4BF765AD" w:rsidR="00016820" w:rsidRDefault="00891D29">
      <w:pPr>
        <w:pStyle w:val="TOC1"/>
        <w:tabs>
          <w:tab w:val="left" w:pos="440"/>
          <w:tab w:val="right" w:leader="dot" w:pos="9016"/>
        </w:tabs>
        <w:rPr>
          <w:rFonts w:eastAsiaTheme="minorEastAsia"/>
          <w:noProof/>
          <w:lang w:eastAsia="en-AU"/>
        </w:rPr>
      </w:pPr>
      <w:hyperlink w:anchor="_Toc113549379" w:history="1">
        <w:r w:rsidR="00016820" w:rsidRPr="00A60A93">
          <w:rPr>
            <w:rStyle w:val="Hyperlink"/>
            <w:rFonts w:ascii="Arial" w:hAnsi="Arial" w:cs="Arial"/>
            <w:noProof/>
          </w:rPr>
          <w:t>8</w:t>
        </w:r>
        <w:r w:rsidR="00016820">
          <w:rPr>
            <w:rFonts w:eastAsiaTheme="minorEastAsia"/>
            <w:noProof/>
            <w:lang w:eastAsia="en-AU"/>
          </w:rPr>
          <w:tab/>
        </w:r>
        <w:r w:rsidR="00016820" w:rsidRPr="00A60A93">
          <w:rPr>
            <w:rStyle w:val="Hyperlink"/>
            <w:rFonts w:ascii="Arial" w:hAnsi="Arial" w:cs="Arial"/>
            <w:noProof/>
          </w:rPr>
          <w:t>Evaluation of the Fund</w:t>
        </w:r>
        <w:r w:rsidR="00016820">
          <w:rPr>
            <w:noProof/>
            <w:webHidden/>
          </w:rPr>
          <w:tab/>
        </w:r>
        <w:r w:rsidR="00016820">
          <w:rPr>
            <w:noProof/>
            <w:webHidden/>
          </w:rPr>
          <w:fldChar w:fldCharType="begin"/>
        </w:r>
        <w:r w:rsidR="00016820">
          <w:rPr>
            <w:noProof/>
            <w:webHidden/>
          </w:rPr>
          <w:instrText xml:space="preserve"> PAGEREF _Toc113549379 \h </w:instrText>
        </w:r>
        <w:r w:rsidR="00016820">
          <w:rPr>
            <w:noProof/>
            <w:webHidden/>
          </w:rPr>
        </w:r>
        <w:r w:rsidR="00016820">
          <w:rPr>
            <w:noProof/>
            <w:webHidden/>
          </w:rPr>
          <w:fldChar w:fldCharType="separate"/>
        </w:r>
        <w:r w:rsidR="00016820">
          <w:rPr>
            <w:noProof/>
            <w:webHidden/>
          </w:rPr>
          <w:t>11</w:t>
        </w:r>
        <w:r w:rsidR="00016820">
          <w:rPr>
            <w:noProof/>
            <w:webHidden/>
          </w:rPr>
          <w:fldChar w:fldCharType="end"/>
        </w:r>
      </w:hyperlink>
    </w:p>
    <w:p w14:paraId="51F955EF" w14:textId="19B0CA50" w:rsidR="00016820" w:rsidRDefault="00891D29">
      <w:pPr>
        <w:pStyle w:val="TOC1"/>
        <w:tabs>
          <w:tab w:val="left" w:pos="440"/>
          <w:tab w:val="right" w:leader="dot" w:pos="9016"/>
        </w:tabs>
        <w:rPr>
          <w:rFonts w:eastAsiaTheme="minorEastAsia"/>
          <w:noProof/>
          <w:lang w:eastAsia="en-AU"/>
        </w:rPr>
      </w:pPr>
      <w:hyperlink w:anchor="_Toc113549380" w:history="1">
        <w:r w:rsidR="00016820" w:rsidRPr="00A60A93">
          <w:rPr>
            <w:rStyle w:val="Hyperlink"/>
            <w:rFonts w:ascii="Arial" w:hAnsi="Arial" w:cs="Arial"/>
            <w:noProof/>
          </w:rPr>
          <w:t>9</w:t>
        </w:r>
        <w:r w:rsidR="00016820">
          <w:rPr>
            <w:rFonts w:eastAsiaTheme="minorEastAsia"/>
            <w:noProof/>
            <w:lang w:eastAsia="en-AU"/>
          </w:rPr>
          <w:tab/>
        </w:r>
        <w:r w:rsidR="00016820" w:rsidRPr="00A60A93">
          <w:rPr>
            <w:rStyle w:val="Hyperlink"/>
            <w:rFonts w:ascii="Arial" w:hAnsi="Arial" w:cs="Arial"/>
            <w:noProof/>
          </w:rPr>
          <w:t>Publicity</w:t>
        </w:r>
        <w:r w:rsidR="00016820">
          <w:rPr>
            <w:noProof/>
            <w:webHidden/>
          </w:rPr>
          <w:tab/>
        </w:r>
        <w:r w:rsidR="00016820">
          <w:rPr>
            <w:noProof/>
            <w:webHidden/>
          </w:rPr>
          <w:fldChar w:fldCharType="begin"/>
        </w:r>
        <w:r w:rsidR="00016820">
          <w:rPr>
            <w:noProof/>
            <w:webHidden/>
          </w:rPr>
          <w:instrText xml:space="preserve"> PAGEREF _Toc113549380 \h </w:instrText>
        </w:r>
        <w:r w:rsidR="00016820">
          <w:rPr>
            <w:noProof/>
            <w:webHidden/>
          </w:rPr>
        </w:r>
        <w:r w:rsidR="00016820">
          <w:rPr>
            <w:noProof/>
            <w:webHidden/>
          </w:rPr>
          <w:fldChar w:fldCharType="separate"/>
        </w:r>
        <w:r w:rsidR="00016820">
          <w:rPr>
            <w:noProof/>
            <w:webHidden/>
          </w:rPr>
          <w:t>11</w:t>
        </w:r>
        <w:r w:rsidR="00016820">
          <w:rPr>
            <w:noProof/>
            <w:webHidden/>
          </w:rPr>
          <w:fldChar w:fldCharType="end"/>
        </w:r>
      </w:hyperlink>
    </w:p>
    <w:p w14:paraId="65629FE4" w14:textId="2EF04861" w:rsidR="00016820" w:rsidRDefault="00891D29">
      <w:pPr>
        <w:pStyle w:val="TOC1"/>
        <w:tabs>
          <w:tab w:val="left" w:pos="660"/>
          <w:tab w:val="right" w:leader="dot" w:pos="9016"/>
        </w:tabs>
        <w:rPr>
          <w:rFonts w:eastAsiaTheme="minorEastAsia"/>
          <w:noProof/>
          <w:lang w:eastAsia="en-AU"/>
        </w:rPr>
      </w:pPr>
      <w:hyperlink w:anchor="_Toc113549381" w:history="1">
        <w:r w:rsidR="00016820" w:rsidRPr="00A60A93">
          <w:rPr>
            <w:rStyle w:val="Hyperlink"/>
            <w:rFonts w:ascii="Arial" w:hAnsi="Arial" w:cs="Arial"/>
            <w:noProof/>
          </w:rPr>
          <w:t>10</w:t>
        </w:r>
        <w:r w:rsidR="00016820">
          <w:rPr>
            <w:rFonts w:eastAsiaTheme="minorEastAsia"/>
            <w:noProof/>
            <w:lang w:eastAsia="en-AU"/>
          </w:rPr>
          <w:tab/>
        </w:r>
        <w:r w:rsidR="00016820" w:rsidRPr="00A60A93">
          <w:rPr>
            <w:rStyle w:val="Hyperlink"/>
            <w:rFonts w:ascii="Arial" w:hAnsi="Arial" w:cs="Arial"/>
            <w:noProof/>
          </w:rPr>
          <w:t>Privacy Statement</w:t>
        </w:r>
        <w:r w:rsidR="00016820">
          <w:rPr>
            <w:noProof/>
            <w:webHidden/>
          </w:rPr>
          <w:tab/>
        </w:r>
        <w:r w:rsidR="00016820">
          <w:rPr>
            <w:noProof/>
            <w:webHidden/>
          </w:rPr>
          <w:fldChar w:fldCharType="begin"/>
        </w:r>
        <w:r w:rsidR="00016820">
          <w:rPr>
            <w:noProof/>
            <w:webHidden/>
          </w:rPr>
          <w:instrText xml:space="preserve"> PAGEREF _Toc113549381 \h </w:instrText>
        </w:r>
        <w:r w:rsidR="00016820">
          <w:rPr>
            <w:noProof/>
            <w:webHidden/>
          </w:rPr>
        </w:r>
        <w:r w:rsidR="00016820">
          <w:rPr>
            <w:noProof/>
            <w:webHidden/>
          </w:rPr>
          <w:fldChar w:fldCharType="separate"/>
        </w:r>
        <w:r w:rsidR="00016820">
          <w:rPr>
            <w:noProof/>
            <w:webHidden/>
          </w:rPr>
          <w:t>11</w:t>
        </w:r>
        <w:r w:rsidR="00016820">
          <w:rPr>
            <w:noProof/>
            <w:webHidden/>
          </w:rPr>
          <w:fldChar w:fldCharType="end"/>
        </w:r>
      </w:hyperlink>
    </w:p>
    <w:p w14:paraId="139CE784" w14:textId="77E14706" w:rsidR="00016820" w:rsidRDefault="00891D29">
      <w:pPr>
        <w:pStyle w:val="TOC1"/>
        <w:tabs>
          <w:tab w:val="left" w:pos="660"/>
          <w:tab w:val="right" w:leader="dot" w:pos="9016"/>
        </w:tabs>
        <w:rPr>
          <w:rFonts w:eastAsiaTheme="minorEastAsia"/>
          <w:noProof/>
          <w:lang w:eastAsia="en-AU"/>
        </w:rPr>
      </w:pPr>
      <w:hyperlink w:anchor="_Toc113549382" w:history="1">
        <w:r w:rsidR="00016820" w:rsidRPr="00A60A93">
          <w:rPr>
            <w:rStyle w:val="Hyperlink"/>
            <w:rFonts w:ascii="Arial" w:hAnsi="Arial" w:cs="Arial"/>
            <w:noProof/>
          </w:rPr>
          <w:t>11</w:t>
        </w:r>
        <w:r w:rsidR="00016820">
          <w:rPr>
            <w:rFonts w:eastAsiaTheme="minorEastAsia"/>
            <w:noProof/>
            <w:lang w:eastAsia="en-AU"/>
          </w:rPr>
          <w:tab/>
        </w:r>
        <w:r w:rsidR="00016820" w:rsidRPr="00A60A93">
          <w:rPr>
            <w:rStyle w:val="Hyperlink"/>
            <w:rFonts w:ascii="Arial" w:hAnsi="Arial" w:cs="Arial"/>
            <w:noProof/>
          </w:rPr>
          <w:t>Departmental Discretion</w:t>
        </w:r>
        <w:r w:rsidR="00016820">
          <w:rPr>
            <w:noProof/>
            <w:webHidden/>
          </w:rPr>
          <w:tab/>
        </w:r>
        <w:r w:rsidR="00016820">
          <w:rPr>
            <w:noProof/>
            <w:webHidden/>
          </w:rPr>
          <w:fldChar w:fldCharType="begin"/>
        </w:r>
        <w:r w:rsidR="00016820">
          <w:rPr>
            <w:noProof/>
            <w:webHidden/>
          </w:rPr>
          <w:instrText xml:space="preserve"> PAGEREF _Toc113549382 \h </w:instrText>
        </w:r>
        <w:r w:rsidR="00016820">
          <w:rPr>
            <w:noProof/>
            <w:webHidden/>
          </w:rPr>
        </w:r>
        <w:r w:rsidR="00016820">
          <w:rPr>
            <w:noProof/>
            <w:webHidden/>
          </w:rPr>
          <w:fldChar w:fldCharType="separate"/>
        </w:r>
        <w:r w:rsidR="00016820">
          <w:rPr>
            <w:noProof/>
            <w:webHidden/>
          </w:rPr>
          <w:t>12</w:t>
        </w:r>
        <w:r w:rsidR="00016820">
          <w:rPr>
            <w:noProof/>
            <w:webHidden/>
          </w:rPr>
          <w:fldChar w:fldCharType="end"/>
        </w:r>
      </w:hyperlink>
    </w:p>
    <w:p w14:paraId="056A65D5" w14:textId="0DFA7875" w:rsidR="00016820" w:rsidRDefault="00891D29">
      <w:pPr>
        <w:pStyle w:val="TOC2"/>
        <w:tabs>
          <w:tab w:val="left" w:pos="880"/>
          <w:tab w:val="right" w:leader="dot" w:pos="9016"/>
        </w:tabs>
        <w:rPr>
          <w:rFonts w:eastAsiaTheme="minorEastAsia"/>
          <w:noProof/>
          <w:lang w:eastAsia="en-AU"/>
        </w:rPr>
      </w:pPr>
      <w:hyperlink w:anchor="_Toc113549383" w:history="1">
        <w:r w:rsidR="00016820" w:rsidRPr="00A60A93">
          <w:rPr>
            <w:rStyle w:val="Hyperlink"/>
            <w:rFonts w:ascii="Arial" w:hAnsi="Arial" w:cs="Arial"/>
            <w:noProof/>
          </w:rPr>
          <w:t>11.1</w:t>
        </w:r>
        <w:r w:rsidR="00016820">
          <w:rPr>
            <w:rFonts w:eastAsiaTheme="minorEastAsia"/>
            <w:noProof/>
            <w:lang w:eastAsia="en-AU"/>
          </w:rPr>
          <w:tab/>
        </w:r>
        <w:r w:rsidR="00016820" w:rsidRPr="00A60A93">
          <w:rPr>
            <w:rStyle w:val="Hyperlink"/>
            <w:rFonts w:ascii="Arial" w:hAnsi="Arial" w:cs="Arial"/>
            <w:noProof/>
          </w:rPr>
          <w:t>Absolute Discretion</w:t>
        </w:r>
        <w:r w:rsidR="00016820">
          <w:rPr>
            <w:noProof/>
            <w:webHidden/>
          </w:rPr>
          <w:tab/>
        </w:r>
        <w:r w:rsidR="00016820">
          <w:rPr>
            <w:noProof/>
            <w:webHidden/>
          </w:rPr>
          <w:fldChar w:fldCharType="begin"/>
        </w:r>
        <w:r w:rsidR="00016820">
          <w:rPr>
            <w:noProof/>
            <w:webHidden/>
          </w:rPr>
          <w:instrText xml:space="preserve"> PAGEREF _Toc113549383 \h </w:instrText>
        </w:r>
        <w:r w:rsidR="00016820">
          <w:rPr>
            <w:noProof/>
            <w:webHidden/>
          </w:rPr>
        </w:r>
        <w:r w:rsidR="00016820">
          <w:rPr>
            <w:noProof/>
            <w:webHidden/>
          </w:rPr>
          <w:fldChar w:fldCharType="separate"/>
        </w:r>
        <w:r w:rsidR="00016820">
          <w:rPr>
            <w:noProof/>
            <w:webHidden/>
          </w:rPr>
          <w:t>12</w:t>
        </w:r>
        <w:r w:rsidR="00016820">
          <w:rPr>
            <w:noProof/>
            <w:webHidden/>
          </w:rPr>
          <w:fldChar w:fldCharType="end"/>
        </w:r>
      </w:hyperlink>
    </w:p>
    <w:p w14:paraId="5DD15CAA" w14:textId="3902DE3A" w:rsidR="00016820" w:rsidRDefault="00891D29">
      <w:pPr>
        <w:pStyle w:val="TOC1"/>
        <w:tabs>
          <w:tab w:val="left" w:pos="660"/>
          <w:tab w:val="right" w:leader="dot" w:pos="9016"/>
        </w:tabs>
        <w:rPr>
          <w:rFonts w:eastAsiaTheme="minorEastAsia"/>
          <w:noProof/>
          <w:lang w:eastAsia="en-AU"/>
        </w:rPr>
      </w:pPr>
      <w:hyperlink w:anchor="_Toc113549384" w:history="1">
        <w:r w:rsidR="00016820" w:rsidRPr="00A60A93">
          <w:rPr>
            <w:rStyle w:val="Hyperlink"/>
            <w:rFonts w:ascii="Arial" w:hAnsi="Arial" w:cs="Arial"/>
            <w:noProof/>
          </w:rPr>
          <w:t>12</w:t>
        </w:r>
        <w:r w:rsidR="00016820">
          <w:rPr>
            <w:rFonts w:eastAsiaTheme="minorEastAsia"/>
            <w:noProof/>
            <w:lang w:eastAsia="en-AU"/>
          </w:rPr>
          <w:tab/>
        </w:r>
        <w:r w:rsidR="00016820" w:rsidRPr="00A60A93">
          <w:rPr>
            <w:rStyle w:val="Hyperlink"/>
            <w:rFonts w:ascii="Arial" w:hAnsi="Arial" w:cs="Arial"/>
            <w:noProof/>
          </w:rPr>
          <w:t>Conflict of Interest</w:t>
        </w:r>
        <w:r w:rsidR="00016820">
          <w:rPr>
            <w:noProof/>
            <w:webHidden/>
          </w:rPr>
          <w:tab/>
        </w:r>
        <w:r w:rsidR="00016820">
          <w:rPr>
            <w:noProof/>
            <w:webHidden/>
          </w:rPr>
          <w:fldChar w:fldCharType="begin"/>
        </w:r>
        <w:r w:rsidR="00016820">
          <w:rPr>
            <w:noProof/>
            <w:webHidden/>
          </w:rPr>
          <w:instrText xml:space="preserve"> PAGEREF _Toc113549384 \h </w:instrText>
        </w:r>
        <w:r w:rsidR="00016820">
          <w:rPr>
            <w:noProof/>
            <w:webHidden/>
          </w:rPr>
        </w:r>
        <w:r w:rsidR="00016820">
          <w:rPr>
            <w:noProof/>
            <w:webHidden/>
          </w:rPr>
          <w:fldChar w:fldCharType="separate"/>
        </w:r>
        <w:r w:rsidR="00016820">
          <w:rPr>
            <w:noProof/>
            <w:webHidden/>
          </w:rPr>
          <w:t>12</w:t>
        </w:r>
        <w:r w:rsidR="00016820">
          <w:rPr>
            <w:noProof/>
            <w:webHidden/>
          </w:rPr>
          <w:fldChar w:fldCharType="end"/>
        </w:r>
      </w:hyperlink>
    </w:p>
    <w:p w14:paraId="43DCE01E" w14:textId="493D1498" w:rsidR="00016820" w:rsidRDefault="00891D29">
      <w:pPr>
        <w:pStyle w:val="TOC1"/>
        <w:tabs>
          <w:tab w:val="left" w:pos="660"/>
          <w:tab w:val="right" w:leader="dot" w:pos="9016"/>
        </w:tabs>
        <w:rPr>
          <w:rFonts w:eastAsiaTheme="minorEastAsia"/>
          <w:noProof/>
          <w:lang w:eastAsia="en-AU"/>
        </w:rPr>
      </w:pPr>
      <w:hyperlink w:anchor="_Toc113549385" w:history="1">
        <w:r w:rsidR="00016820" w:rsidRPr="00A60A93">
          <w:rPr>
            <w:rStyle w:val="Hyperlink"/>
            <w:rFonts w:ascii="Arial" w:hAnsi="Arial" w:cs="Arial"/>
            <w:noProof/>
          </w:rPr>
          <w:t>13</w:t>
        </w:r>
        <w:r w:rsidR="00016820">
          <w:rPr>
            <w:rFonts w:eastAsiaTheme="minorEastAsia"/>
            <w:noProof/>
            <w:lang w:eastAsia="en-AU"/>
          </w:rPr>
          <w:tab/>
        </w:r>
        <w:r w:rsidR="00016820" w:rsidRPr="00A60A93">
          <w:rPr>
            <w:rStyle w:val="Hyperlink"/>
            <w:rFonts w:ascii="Arial" w:hAnsi="Arial" w:cs="Arial"/>
            <w:noProof/>
          </w:rPr>
          <w:t>Glossary of Terms</w:t>
        </w:r>
        <w:r w:rsidR="00016820">
          <w:rPr>
            <w:noProof/>
            <w:webHidden/>
          </w:rPr>
          <w:tab/>
        </w:r>
        <w:r w:rsidR="00016820">
          <w:rPr>
            <w:noProof/>
            <w:webHidden/>
          </w:rPr>
          <w:fldChar w:fldCharType="begin"/>
        </w:r>
        <w:r w:rsidR="00016820">
          <w:rPr>
            <w:noProof/>
            <w:webHidden/>
          </w:rPr>
          <w:instrText xml:space="preserve"> PAGEREF _Toc113549385 \h </w:instrText>
        </w:r>
        <w:r w:rsidR="00016820">
          <w:rPr>
            <w:noProof/>
            <w:webHidden/>
          </w:rPr>
        </w:r>
        <w:r w:rsidR="00016820">
          <w:rPr>
            <w:noProof/>
            <w:webHidden/>
          </w:rPr>
          <w:fldChar w:fldCharType="separate"/>
        </w:r>
        <w:r w:rsidR="00016820">
          <w:rPr>
            <w:noProof/>
            <w:webHidden/>
          </w:rPr>
          <w:t>13</w:t>
        </w:r>
        <w:r w:rsidR="00016820">
          <w:rPr>
            <w:noProof/>
            <w:webHidden/>
          </w:rPr>
          <w:fldChar w:fldCharType="end"/>
        </w:r>
      </w:hyperlink>
    </w:p>
    <w:p w14:paraId="50379FD5" w14:textId="0B8EAA21" w:rsidR="008223B9" w:rsidRPr="008223B9" w:rsidRDefault="00016820">
      <w:pPr>
        <w:rPr>
          <w:rFonts w:ascii="Arial" w:hAnsi="Arial" w:cs="Arial"/>
        </w:rPr>
      </w:pPr>
      <w:r>
        <w:rPr>
          <w:rFonts w:ascii="Arial" w:hAnsi="Arial" w:cs="Arial"/>
        </w:rPr>
        <w:fldChar w:fldCharType="end"/>
      </w:r>
      <w:r w:rsidR="008223B9" w:rsidRPr="008223B9">
        <w:rPr>
          <w:rFonts w:ascii="Arial" w:hAnsi="Arial" w:cs="Arial"/>
        </w:rPr>
        <w:br w:type="page"/>
      </w:r>
    </w:p>
    <w:p w14:paraId="34620BAB" w14:textId="52D6FA49" w:rsidR="008223B9" w:rsidRPr="008223B9" w:rsidRDefault="008223B9" w:rsidP="008223B9">
      <w:pPr>
        <w:pStyle w:val="Heading1"/>
        <w:rPr>
          <w:rFonts w:ascii="Arial" w:hAnsi="Arial" w:cs="Arial"/>
          <w:color w:val="auto"/>
        </w:rPr>
      </w:pPr>
      <w:bookmarkStart w:id="0" w:name="_Toc113549352"/>
      <w:r w:rsidRPr="008223B9">
        <w:rPr>
          <w:rFonts w:ascii="Arial" w:hAnsi="Arial" w:cs="Arial"/>
          <w:color w:val="auto"/>
        </w:rPr>
        <w:lastRenderedPageBreak/>
        <w:t>1</w:t>
      </w:r>
      <w:r w:rsidRPr="008223B9">
        <w:rPr>
          <w:rFonts w:ascii="Arial" w:hAnsi="Arial" w:cs="Arial"/>
          <w:color w:val="auto"/>
        </w:rPr>
        <w:tab/>
        <w:t>Program Summary</w:t>
      </w:r>
      <w:bookmarkEnd w:id="0"/>
    </w:p>
    <w:p w14:paraId="30666B2D" w14:textId="6A5BD931" w:rsidR="008223B9" w:rsidRPr="008223B9" w:rsidRDefault="008223B9" w:rsidP="008223B9">
      <w:pPr>
        <w:pStyle w:val="Heading2"/>
        <w:rPr>
          <w:rFonts w:ascii="Arial" w:hAnsi="Arial" w:cs="Arial"/>
          <w:color w:val="auto"/>
        </w:rPr>
      </w:pPr>
      <w:bookmarkStart w:id="1" w:name="_Toc113549353"/>
      <w:bookmarkStart w:id="2" w:name="_Toc314821339"/>
      <w:bookmarkStart w:id="3" w:name="_Toc314822261"/>
      <w:bookmarkStart w:id="4" w:name="_Toc315765091"/>
      <w:bookmarkStart w:id="5" w:name="_Toc39495217"/>
      <w:r w:rsidRPr="008223B9">
        <w:rPr>
          <w:rFonts w:ascii="Arial" w:hAnsi="Arial" w:cs="Arial"/>
          <w:color w:val="auto"/>
        </w:rPr>
        <w:t>1.1</w:t>
      </w:r>
      <w:r w:rsidRPr="008223B9">
        <w:rPr>
          <w:rFonts w:ascii="Arial" w:hAnsi="Arial" w:cs="Arial"/>
          <w:color w:val="auto"/>
        </w:rPr>
        <w:tab/>
        <w:t>Overview</w:t>
      </w:r>
      <w:bookmarkEnd w:id="1"/>
      <w:r w:rsidRPr="008223B9">
        <w:rPr>
          <w:rFonts w:ascii="Arial" w:hAnsi="Arial" w:cs="Arial"/>
          <w:color w:val="auto"/>
        </w:rPr>
        <w:t xml:space="preserve"> </w:t>
      </w:r>
      <w:bookmarkEnd w:id="2"/>
      <w:bookmarkEnd w:id="3"/>
      <w:bookmarkEnd w:id="4"/>
      <w:bookmarkEnd w:id="5"/>
    </w:p>
    <w:p w14:paraId="642A5ED5" w14:textId="77777777" w:rsidR="008223B9" w:rsidRPr="008223B9" w:rsidRDefault="008223B9" w:rsidP="008223B9">
      <w:pPr>
        <w:rPr>
          <w:rFonts w:ascii="Arial" w:hAnsi="Arial" w:cs="Arial"/>
        </w:rPr>
      </w:pPr>
      <w:r w:rsidRPr="008223B9">
        <w:rPr>
          <w:rFonts w:ascii="Arial" w:hAnsi="Arial" w:cs="Arial"/>
        </w:rPr>
        <w:t>Victorian agriculture is the cornerstone of our economy and the backbone of our rural and regional communities.</w:t>
      </w:r>
    </w:p>
    <w:p w14:paraId="48850824" w14:textId="77777777" w:rsidR="008223B9" w:rsidRPr="008223B9" w:rsidRDefault="008223B9" w:rsidP="008223B9">
      <w:pPr>
        <w:rPr>
          <w:rFonts w:ascii="Arial" w:hAnsi="Arial" w:cs="Arial"/>
        </w:rPr>
      </w:pPr>
      <w:r w:rsidRPr="008223B9">
        <w:rPr>
          <w:rFonts w:ascii="Arial" w:hAnsi="Arial" w:cs="Arial"/>
        </w:rPr>
        <w:t>The Victorian Government (Government) is committing to a ten-year Agriculture Strategy to drive Victoria’s recovery from the coronavirus pandemic, bolster the economy and support the agriculture sector to thrive. Victoria’s Agriculture Strategy identifies the need to modernise the agriculture sector by delivering skills for the future.</w:t>
      </w:r>
    </w:p>
    <w:p w14:paraId="32962319" w14:textId="77777777" w:rsidR="008223B9" w:rsidRPr="008223B9" w:rsidRDefault="008223B9" w:rsidP="008223B9">
      <w:pPr>
        <w:rPr>
          <w:rFonts w:ascii="Arial" w:hAnsi="Arial" w:cs="Arial"/>
        </w:rPr>
      </w:pPr>
      <w:r w:rsidRPr="008223B9">
        <w:rPr>
          <w:rFonts w:ascii="Arial" w:hAnsi="Arial" w:cs="Arial"/>
        </w:rPr>
        <w:t>To skill the next generation of Victoria’s farmers, the Government is investing $50 million into a four-year Agricultural College Modernisation Program.</w:t>
      </w:r>
    </w:p>
    <w:p w14:paraId="44CD3DA3" w14:textId="77777777" w:rsidR="008223B9" w:rsidRPr="008223B9" w:rsidRDefault="008223B9" w:rsidP="008223B9">
      <w:pPr>
        <w:rPr>
          <w:rFonts w:ascii="Arial" w:hAnsi="Arial" w:cs="Arial"/>
        </w:rPr>
      </w:pPr>
      <w:r w:rsidRPr="008223B9">
        <w:rPr>
          <w:rFonts w:ascii="Arial" w:hAnsi="Arial" w:cs="Arial"/>
        </w:rPr>
        <w:t>The Agricultural College Modernisation Program has two components:</w:t>
      </w:r>
    </w:p>
    <w:p w14:paraId="10C281F7" w14:textId="77777777" w:rsidR="008223B9" w:rsidRPr="008223B9" w:rsidRDefault="008223B9" w:rsidP="008223B9">
      <w:pPr>
        <w:pStyle w:val="ListParagraph"/>
        <w:numPr>
          <w:ilvl w:val="0"/>
          <w:numId w:val="1"/>
        </w:numPr>
        <w:rPr>
          <w:rFonts w:cs="Arial"/>
          <w:color w:val="auto"/>
          <w:sz w:val="22"/>
          <w:szCs w:val="22"/>
        </w:rPr>
      </w:pPr>
      <w:r w:rsidRPr="008223B9">
        <w:rPr>
          <w:rFonts w:cs="Arial"/>
          <w:color w:val="auto"/>
          <w:sz w:val="22"/>
          <w:szCs w:val="22"/>
        </w:rPr>
        <w:t>$30 million over four years to create the Future Agriculture Skills Capacity Fund (Skills Fund). The Skills Fund will support Victoria’s TAFEs and other agriculture education and training providers to develop students’ skills, ensuring they have the training required for a future in agriculture.</w:t>
      </w:r>
    </w:p>
    <w:p w14:paraId="11009BDA" w14:textId="77777777" w:rsidR="008223B9" w:rsidRPr="008223B9" w:rsidRDefault="008223B9" w:rsidP="008223B9">
      <w:pPr>
        <w:pStyle w:val="ListParagraph"/>
        <w:numPr>
          <w:ilvl w:val="0"/>
          <w:numId w:val="1"/>
        </w:numPr>
        <w:rPr>
          <w:rFonts w:cs="Arial"/>
          <w:color w:val="auto"/>
          <w:sz w:val="22"/>
          <w:szCs w:val="22"/>
        </w:rPr>
      </w:pPr>
      <w:r w:rsidRPr="008223B9">
        <w:rPr>
          <w:rFonts w:cs="Arial"/>
          <w:color w:val="auto"/>
          <w:sz w:val="22"/>
          <w:szCs w:val="22"/>
        </w:rPr>
        <w:t xml:space="preserve">$20 million invested in three agriculture colleges to deliver new student accommodation and teaching facilities. (The University of Melbourne - </w:t>
      </w:r>
      <w:proofErr w:type="gramStart"/>
      <w:r w:rsidRPr="008223B9">
        <w:rPr>
          <w:rFonts w:cs="Arial"/>
          <w:color w:val="auto"/>
          <w:sz w:val="22"/>
          <w:szCs w:val="22"/>
        </w:rPr>
        <w:t>Dookie</w:t>
      </w:r>
      <w:proofErr w:type="gramEnd"/>
      <w:r w:rsidRPr="008223B9">
        <w:rPr>
          <w:rFonts w:cs="Arial"/>
          <w:color w:val="auto"/>
          <w:sz w:val="22"/>
          <w:szCs w:val="22"/>
        </w:rPr>
        <w:t xml:space="preserve"> Campus, Marcus Oldham College and Longerenong College).</w:t>
      </w:r>
    </w:p>
    <w:p w14:paraId="5F67B9BC" w14:textId="77777777" w:rsidR="008223B9" w:rsidRPr="008223B9" w:rsidRDefault="008223B9" w:rsidP="008223B9">
      <w:pPr>
        <w:rPr>
          <w:rFonts w:ascii="Arial" w:hAnsi="Arial" w:cs="Arial"/>
        </w:rPr>
      </w:pPr>
      <w:r w:rsidRPr="008223B9">
        <w:rPr>
          <w:rFonts w:ascii="Arial" w:hAnsi="Arial" w:cs="Arial"/>
        </w:rPr>
        <w:t xml:space="preserve">The $15 million Agriculture TAFE and Training Fund (ATTF) forms part of the Skills Fund. Additional information about the Skills Fund is available on the Agriculture Victoria website, </w:t>
      </w:r>
      <w:hyperlink r:id="rId10" w:history="1">
        <w:r w:rsidRPr="008223B9">
          <w:rPr>
            <w:rStyle w:val="Hyperlink"/>
            <w:rFonts w:ascii="Arial" w:hAnsi="Arial" w:cs="Arial"/>
            <w:color w:val="auto"/>
          </w:rPr>
          <w:t>agriculture.vic.gov.au/</w:t>
        </w:r>
        <w:proofErr w:type="spellStart"/>
        <w:r w:rsidRPr="008223B9">
          <w:rPr>
            <w:rStyle w:val="Hyperlink"/>
            <w:rFonts w:ascii="Arial" w:hAnsi="Arial" w:cs="Arial"/>
            <w:color w:val="auto"/>
          </w:rPr>
          <w:t>agcollegeprogram</w:t>
        </w:r>
        <w:proofErr w:type="spellEnd"/>
      </w:hyperlink>
      <w:r w:rsidRPr="008223B9">
        <w:rPr>
          <w:rFonts w:ascii="Arial" w:hAnsi="Arial" w:cs="Arial"/>
        </w:rPr>
        <w:t>.</w:t>
      </w:r>
    </w:p>
    <w:p w14:paraId="294D3C56" w14:textId="77777777" w:rsidR="008223B9" w:rsidRPr="008223B9" w:rsidRDefault="008223B9" w:rsidP="008223B9">
      <w:pPr>
        <w:rPr>
          <w:rFonts w:ascii="Arial" w:hAnsi="Arial" w:cs="Arial"/>
        </w:rPr>
      </w:pPr>
      <w:r w:rsidRPr="008223B9">
        <w:rPr>
          <w:rFonts w:ascii="Arial" w:hAnsi="Arial" w:cs="Arial"/>
        </w:rPr>
        <w:t>These Guidelines outline the process for eligible organisations (refer to the Eligibility Criteria section) to apply for a grant under the ATTF and Government’s expectations for this commitment.</w:t>
      </w:r>
    </w:p>
    <w:p w14:paraId="13107D52" w14:textId="6F69B807" w:rsidR="008223B9" w:rsidRPr="008223B9" w:rsidRDefault="008223B9" w:rsidP="008223B9">
      <w:pPr>
        <w:pStyle w:val="Heading2"/>
        <w:rPr>
          <w:rFonts w:ascii="Arial" w:hAnsi="Arial" w:cs="Arial"/>
          <w:color w:val="auto"/>
        </w:rPr>
      </w:pPr>
      <w:bookmarkStart w:id="6" w:name="_Toc113549354"/>
      <w:r w:rsidRPr="008223B9">
        <w:rPr>
          <w:rFonts w:ascii="Arial" w:hAnsi="Arial" w:cs="Arial"/>
          <w:color w:val="auto"/>
        </w:rPr>
        <w:t>1.2</w:t>
      </w:r>
      <w:r w:rsidRPr="008223B9">
        <w:rPr>
          <w:rFonts w:ascii="Arial" w:hAnsi="Arial" w:cs="Arial"/>
          <w:color w:val="auto"/>
        </w:rPr>
        <w:tab/>
        <w:t>Objectives of the Agriculture TAFE and Training Fund</w:t>
      </w:r>
      <w:bookmarkEnd w:id="6"/>
    </w:p>
    <w:p w14:paraId="7AA4709A" w14:textId="77777777" w:rsidR="008223B9" w:rsidRPr="008223B9" w:rsidRDefault="008223B9" w:rsidP="008223B9">
      <w:pPr>
        <w:rPr>
          <w:rFonts w:ascii="Arial" w:hAnsi="Arial" w:cs="Arial"/>
        </w:rPr>
      </w:pPr>
      <w:r w:rsidRPr="008223B9">
        <w:rPr>
          <w:rFonts w:ascii="Arial" w:hAnsi="Arial" w:cs="Arial"/>
        </w:rPr>
        <w:t>Victoria’s agricultural sector needs people with the skills to be entrepreneurial, more innovative and build resilience in the face of change. This creates an increased demand for high-quality agriculture tertiary education.</w:t>
      </w:r>
    </w:p>
    <w:p w14:paraId="1180BE88" w14:textId="77777777" w:rsidR="008223B9" w:rsidRPr="008223B9" w:rsidRDefault="008223B9" w:rsidP="008223B9">
      <w:pPr>
        <w:rPr>
          <w:rFonts w:ascii="Arial" w:hAnsi="Arial" w:cs="Arial"/>
        </w:rPr>
      </w:pPr>
      <w:r w:rsidRPr="008223B9">
        <w:rPr>
          <w:rFonts w:ascii="Arial" w:hAnsi="Arial" w:cs="Arial"/>
        </w:rPr>
        <w:t>The objectives of the ATTF are to ensure that:</w:t>
      </w:r>
    </w:p>
    <w:p w14:paraId="131A212E" w14:textId="77777777" w:rsidR="008223B9" w:rsidRPr="008223B9" w:rsidRDefault="008223B9" w:rsidP="008223B9">
      <w:pPr>
        <w:pStyle w:val="ListParagraph"/>
        <w:numPr>
          <w:ilvl w:val="0"/>
          <w:numId w:val="2"/>
        </w:numPr>
        <w:rPr>
          <w:rFonts w:cs="Arial"/>
          <w:color w:val="auto"/>
          <w:sz w:val="22"/>
          <w:szCs w:val="22"/>
        </w:rPr>
      </w:pPr>
      <w:r w:rsidRPr="008223B9">
        <w:rPr>
          <w:rFonts w:cs="Arial"/>
          <w:color w:val="auto"/>
          <w:sz w:val="22"/>
          <w:szCs w:val="22"/>
        </w:rPr>
        <w:t>Victoria develops a more productive agriculture sector supported by targeted training and skill development that is delivered by Victoria’s TAFE and training sector.</w:t>
      </w:r>
    </w:p>
    <w:p w14:paraId="6C7796E8" w14:textId="77777777" w:rsidR="008223B9" w:rsidRPr="008223B9" w:rsidRDefault="008223B9" w:rsidP="008223B9">
      <w:pPr>
        <w:pStyle w:val="ListParagraph"/>
        <w:numPr>
          <w:ilvl w:val="0"/>
          <w:numId w:val="2"/>
        </w:numPr>
        <w:rPr>
          <w:rFonts w:cs="Arial"/>
          <w:color w:val="auto"/>
          <w:sz w:val="22"/>
          <w:szCs w:val="22"/>
        </w:rPr>
      </w:pPr>
      <w:r w:rsidRPr="008223B9">
        <w:rPr>
          <w:rFonts w:cs="Arial"/>
          <w:color w:val="auto"/>
          <w:sz w:val="22"/>
          <w:szCs w:val="22"/>
        </w:rPr>
        <w:t>Victoria’s training system is delivering the right training that is modern, meets the needs of the agriculture sector and delivered by trainers with the appropriate capability to ensure the agriculture industry has the skilled workforce for the future.</w:t>
      </w:r>
    </w:p>
    <w:p w14:paraId="42E54123" w14:textId="77777777" w:rsidR="008223B9" w:rsidRPr="008223B9" w:rsidRDefault="008223B9" w:rsidP="008223B9">
      <w:pPr>
        <w:pStyle w:val="ListParagraph"/>
        <w:numPr>
          <w:ilvl w:val="0"/>
          <w:numId w:val="2"/>
        </w:numPr>
        <w:rPr>
          <w:rFonts w:cs="Arial"/>
          <w:color w:val="auto"/>
          <w:sz w:val="22"/>
          <w:szCs w:val="22"/>
        </w:rPr>
      </w:pPr>
      <w:r w:rsidRPr="008223B9">
        <w:rPr>
          <w:rFonts w:cs="Arial"/>
          <w:color w:val="auto"/>
          <w:sz w:val="22"/>
          <w:szCs w:val="22"/>
        </w:rPr>
        <w:t>Victoria’s training system is better connected as an agricultural skills development pipeline, from schools through vocational education and training, into higher education and ongoing skills development in the workplace.</w:t>
      </w:r>
    </w:p>
    <w:p w14:paraId="7000A31E" w14:textId="77777777" w:rsidR="008223B9" w:rsidRPr="008223B9" w:rsidRDefault="008223B9" w:rsidP="008223B9">
      <w:pPr>
        <w:pStyle w:val="ListParagraph"/>
        <w:numPr>
          <w:ilvl w:val="0"/>
          <w:numId w:val="2"/>
        </w:numPr>
        <w:rPr>
          <w:rFonts w:cs="Arial"/>
          <w:color w:val="auto"/>
          <w:sz w:val="22"/>
          <w:szCs w:val="22"/>
        </w:rPr>
      </w:pPr>
      <w:r w:rsidRPr="008223B9">
        <w:rPr>
          <w:rFonts w:cs="Arial"/>
          <w:color w:val="auto"/>
          <w:sz w:val="22"/>
          <w:szCs w:val="22"/>
        </w:rPr>
        <w:t>Victoria’s training system is inclusive of all users, ensuring Culturally and Linguistically Diverse (CALD) communities, people living in remote areas, long-term unemployed, women, and people living with disabilities are supported to engage in agricultural training.</w:t>
      </w:r>
    </w:p>
    <w:p w14:paraId="637EBA12" w14:textId="77777777" w:rsidR="008223B9" w:rsidRPr="008223B9" w:rsidRDefault="008223B9" w:rsidP="008223B9">
      <w:pPr>
        <w:pStyle w:val="ListParagraph"/>
        <w:numPr>
          <w:ilvl w:val="0"/>
          <w:numId w:val="2"/>
        </w:numPr>
        <w:rPr>
          <w:rFonts w:cs="Arial"/>
          <w:color w:val="auto"/>
          <w:sz w:val="22"/>
          <w:szCs w:val="22"/>
        </w:rPr>
      </w:pPr>
      <w:r w:rsidRPr="008223B9">
        <w:rPr>
          <w:rFonts w:cs="Arial"/>
          <w:color w:val="auto"/>
          <w:sz w:val="22"/>
          <w:szCs w:val="22"/>
        </w:rPr>
        <w:t>Victoria’s agricultural training system incorporates Aboriginal knowledge and practices and involves and attracts more Aboriginal and Torres Strait Islander people.</w:t>
      </w:r>
    </w:p>
    <w:p w14:paraId="0FB52E44" w14:textId="752EA698" w:rsidR="008223B9" w:rsidRPr="008223B9" w:rsidRDefault="008223B9" w:rsidP="008223B9">
      <w:pPr>
        <w:rPr>
          <w:rFonts w:ascii="Arial" w:hAnsi="Arial" w:cs="Arial"/>
        </w:rPr>
      </w:pPr>
      <w:r w:rsidRPr="008223B9">
        <w:rPr>
          <w:rFonts w:ascii="Arial" w:hAnsi="Arial" w:cs="Arial"/>
        </w:rPr>
        <w:t>Applications for grants through the ATTF will need to deliver on these objectives.</w:t>
      </w:r>
    </w:p>
    <w:p w14:paraId="6ACEBDC0" w14:textId="1206D786" w:rsidR="008223B9" w:rsidRPr="008223B9" w:rsidRDefault="008223B9" w:rsidP="008223B9">
      <w:pPr>
        <w:pStyle w:val="Heading1"/>
        <w:rPr>
          <w:rFonts w:ascii="Arial" w:hAnsi="Arial" w:cs="Arial"/>
          <w:color w:val="auto"/>
        </w:rPr>
      </w:pPr>
      <w:bookmarkStart w:id="7" w:name="_Toc113549355"/>
      <w:r w:rsidRPr="008223B9">
        <w:rPr>
          <w:rFonts w:ascii="Arial" w:hAnsi="Arial" w:cs="Arial"/>
          <w:color w:val="auto"/>
        </w:rPr>
        <w:lastRenderedPageBreak/>
        <w:t>2</w:t>
      </w:r>
      <w:r w:rsidRPr="008223B9">
        <w:rPr>
          <w:rFonts w:ascii="Arial" w:hAnsi="Arial" w:cs="Arial"/>
          <w:color w:val="auto"/>
        </w:rPr>
        <w:tab/>
        <w:t>Available Funding</w:t>
      </w:r>
      <w:bookmarkEnd w:id="7"/>
    </w:p>
    <w:p w14:paraId="18525DCC" w14:textId="77777777" w:rsidR="008223B9" w:rsidRPr="008223B9" w:rsidRDefault="008223B9" w:rsidP="008223B9">
      <w:pPr>
        <w:rPr>
          <w:rFonts w:ascii="Arial" w:hAnsi="Arial" w:cs="Arial"/>
        </w:rPr>
      </w:pPr>
      <w:r w:rsidRPr="008223B9">
        <w:rPr>
          <w:rFonts w:ascii="Arial" w:hAnsi="Arial" w:cs="Arial"/>
        </w:rPr>
        <w:t>Applications must be for funding of between $40,000 (ex GST) and $2,000,000 (ex GST). This range accounts for the diverse needs across eligible organisations.</w:t>
      </w:r>
    </w:p>
    <w:p w14:paraId="2AE51614" w14:textId="77777777" w:rsidR="008223B9" w:rsidRPr="008223B9" w:rsidRDefault="008223B9" w:rsidP="008223B9">
      <w:pPr>
        <w:rPr>
          <w:rFonts w:ascii="Arial" w:hAnsi="Arial" w:cs="Arial"/>
        </w:rPr>
      </w:pPr>
      <w:r w:rsidRPr="008223B9">
        <w:rPr>
          <w:rFonts w:ascii="Arial" w:hAnsi="Arial" w:cs="Arial"/>
        </w:rPr>
        <w:t>Given the limited funds available, applicants are encouraged to consider the scalability of projects, such as how they can be set up as stages or modules, should only partial funding be available.</w:t>
      </w:r>
    </w:p>
    <w:p w14:paraId="318CD53C" w14:textId="77777777" w:rsidR="008223B9" w:rsidRPr="008223B9" w:rsidRDefault="008223B9" w:rsidP="008223B9">
      <w:pPr>
        <w:rPr>
          <w:rFonts w:ascii="Arial" w:hAnsi="Arial" w:cs="Arial"/>
        </w:rPr>
      </w:pPr>
      <w:r w:rsidRPr="008223B9">
        <w:rPr>
          <w:rFonts w:ascii="Arial" w:hAnsi="Arial" w:cs="Arial"/>
        </w:rPr>
        <w:t>An eligible organisation can only submit one application as lead organisation but may partner on multiple applications. This is to encourage collaboration across organisations.</w:t>
      </w:r>
    </w:p>
    <w:p w14:paraId="02DD1BB8" w14:textId="0C4FA9E5" w:rsidR="008223B9" w:rsidRPr="008223B9" w:rsidRDefault="008223B9" w:rsidP="008223B9">
      <w:pPr>
        <w:pStyle w:val="Heading2"/>
        <w:rPr>
          <w:rFonts w:ascii="Arial" w:hAnsi="Arial" w:cs="Arial"/>
          <w:color w:val="auto"/>
        </w:rPr>
      </w:pPr>
      <w:bookmarkStart w:id="8" w:name="_Toc113549356"/>
      <w:r w:rsidRPr="008223B9">
        <w:rPr>
          <w:rFonts w:ascii="Arial" w:hAnsi="Arial" w:cs="Arial"/>
          <w:color w:val="auto"/>
        </w:rPr>
        <w:t>2.1</w:t>
      </w:r>
      <w:r w:rsidRPr="008223B9">
        <w:rPr>
          <w:rFonts w:ascii="Arial" w:hAnsi="Arial" w:cs="Arial"/>
          <w:color w:val="auto"/>
        </w:rPr>
        <w:tab/>
        <w:t>Building on existing work and collaboration</w:t>
      </w:r>
      <w:bookmarkEnd w:id="8"/>
    </w:p>
    <w:p w14:paraId="19BA08D6" w14:textId="777D08CE" w:rsidR="008223B9" w:rsidRPr="008223B9" w:rsidRDefault="008223B9" w:rsidP="008223B9">
      <w:pPr>
        <w:rPr>
          <w:rFonts w:ascii="Arial" w:hAnsi="Arial" w:cs="Arial"/>
        </w:rPr>
      </w:pPr>
      <w:r w:rsidRPr="008223B9">
        <w:rPr>
          <w:rFonts w:ascii="Arial" w:hAnsi="Arial" w:cs="Arial"/>
        </w:rPr>
        <w:t>Applicants should keep in mind that applications that leverage additional funding and in-kind contributions to</w:t>
      </w:r>
    </w:p>
    <w:p w14:paraId="543752A1" w14:textId="631FAD7C" w:rsidR="008223B9" w:rsidRPr="008223B9" w:rsidRDefault="008223B9" w:rsidP="008223B9">
      <w:pPr>
        <w:pStyle w:val="Heading1"/>
        <w:rPr>
          <w:rFonts w:ascii="Arial" w:hAnsi="Arial" w:cs="Arial"/>
          <w:color w:val="auto"/>
        </w:rPr>
      </w:pPr>
      <w:bookmarkStart w:id="9" w:name="_Toc113549357"/>
      <w:r w:rsidRPr="008223B9">
        <w:rPr>
          <w:rFonts w:ascii="Arial" w:hAnsi="Arial" w:cs="Arial"/>
          <w:color w:val="auto"/>
        </w:rPr>
        <w:t>3</w:t>
      </w:r>
      <w:r w:rsidRPr="008223B9">
        <w:rPr>
          <w:rFonts w:ascii="Arial" w:hAnsi="Arial" w:cs="Arial"/>
          <w:color w:val="auto"/>
        </w:rPr>
        <w:tab/>
        <w:t>Applicant Eligibility</w:t>
      </w:r>
      <w:bookmarkEnd w:id="9"/>
    </w:p>
    <w:p w14:paraId="6969D64F" w14:textId="346AF222" w:rsidR="008223B9" w:rsidRPr="008223B9" w:rsidRDefault="008223B9" w:rsidP="008223B9">
      <w:pPr>
        <w:pStyle w:val="Heading2"/>
        <w:rPr>
          <w:rFonts w:ascii="Arial" w:hAnsi="Arial" w:cs="Arial"/>
          <w:color w:val="auto"/>
        </w:rPr>
      </w:pPr>
      <w:bookmarkStart w:id="10" w:name="_Toc113549358"/>
      <w:r w:rsidRPr="008223B9">
        <w:rPr>
          <w:rFonts w:ascii="Arial" w:hAnsi="Arial" w:cs="Arial"/>
          <w:color w:val="auto"/>
        </w:rPr>
        <w:t>3.1</w:t>
      </w:r>
      <w:r w:rsidRPr="008223B9">
        <w:rPr>
          <w:rFonts w:ascii="Arial" w:hAnsi="Arial" w:cs="Arial"/>
          <w:color w:val="auto"/>
        </w:rPr>
        <w:tab/>
        <w:t>Eligibility Criteria</w:t>
      </w:r>
      <w:bookmarkEnd w:id="10"/>
    </w:p>
    <w:p w14:paraId="1C4F7D27"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The following organisations are eligible to apply:</w:t>
      </w:r>
    </w:p>
    <w:p w14:paraId="3080FC96" w14:textId="77777777" w:rsidR="008223B9" w:rsidRPr="008223B9" w:rsidRDefault="008223B9" w:rsidP="008223B9">
      <w:pPr>
        <w:pStyle w:val="ListParagraph"/>
        <w:numPr>
          <w:ilvl w:val="1"/>
          <w:numId w:val="3"/>
        </w:numPr>
        <w:rPr>
          <w:rFonts w:cs="Arial"/>
          <w:color w:val="auto"/>
          <w:sz w:val="22"/>
          <w:szCs w:val="22"/>
        </w:rPr>
      </w:pPr>
      <w:r w:rsidRPr="008223B9">
        <w:rPr>
          <w:rFonts w:cs="Arial"/>
          <w:color w:val="auto"/>
          <w:sz w:val="22"/>
          <w:szCs w:val="22"/>
        </w:rPr>
        <w:t>Victorian TAFEs</w:t>
      </w:r>
    </w:p>
    <w:p w14:paraId="5F66E1E7" w14:textId="77777777" w:rsidR="008223B9" w:rsidRPr="008223B9" w:rsidRDefault="008223B9" w:rsidP="008223B9">
      <w:pPr>
        <w:pStyle w:val="ListParagraph"/>
        <w:numPr>
          <w:ilvl w:val="1"/>
          <w:numId w:val="3"/>
        </w:numPr>
        <w:rPr>
          <w:rFonts w:cs="Arial"/>
          <w:color w:val="auto"/>
          <w:sz w:val="22"/>
          <w:szCs w:val="22"/>
        </w:rPr>
      </w:pPr>
      <w:r w:rsidRPr="008223B9">
        <w:rPr>
          <w:rFonts w:cs="Arial"/>
          <w:color w:val="auto"/>
          <w:sz w:val="22"/>
          <w:szCs w:val="22"/>
        </w:rPr>
        <w:t>Registered Training Organisations (RTOs) holding a current Skills First VET Funding Contract</w:t>
      </w:r>
    </w:p>
    <w:p w14:paraId="08F54BD7" w14:textId="77777777" w:rsidR="008223B9" w:rsidRPr="008223B9" w:rsidRDefault="008223B9" w:rsidP="008223B9">
      <w:pPr>
        <w:pStyle w:val="ListParagraph"/>
        <w:numPr>
          <w:ilvl w:val="1"/>
          <w:numId w:val="3"/>
        </w:numPr>
        <w:rPr>
          <w:rFonts w:cs="Arial"/>
          <w:color w:val="auto"/>
          <w:sz w:val="22"/>
          <w:szCs w:val="22"/>
        </w:rPr>
      </w:pPr>
      <w:r w:rsidRPr="008223B9">
        <w:rPr>
          <w:rFonts w:cs="Arial"/>
          <w:color w:val="auto"/>
          <w:sz w:val="22"/>
          <w:szCs w:val="22"/>
        </w:rPr>
        <w:t>RTOs who do not hold a current Skills First VET Funding Contract but have demonstrated experience delivering specialised training in agriculture in Victoria</w:t>
      </w:r>
    </w:p>
    <w:p w14:paraId="456B2051" w14:textId="77777777" w:rsidR="008223B9" w:rsidRPr="008223B9" w:rsidRDefault="008223B9" w:rsidP="008223B9">
      <w:pPr>
        <w:pStyle w:val="ListParagraph"/>
        <w:numPr>
          <w:ilvl w:val="1"/>
          <w:numId w:val="3"/>
        </w:numPr>
        <w:rPr>
          <w:rFonts w:cs="Arial"/>
          <w:color w:val="auto"/>
          <w:sz w:val="22"/>
          <w:szCs w:val="22"/>
        </w:rPr>
      </w:pPr>
      <w:r w:rsidRPr="008223B9">
        <w:rPr>
          <w:rFonts w:cs="Arial"/>
          <w:color w:val="auto"/>
          <w:sz w:val="22"/>
          <w:szCs w:val="22"/>
        </w:rPr>
        <w:t>Learn Locals</w:t>
      </w:r>
    </w:p>
    <w:p w14:paraId="39C39985"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The project must be delivered in Victoria</w:t>
      </w:r>
      <w:r w:rsidRPr="008223B9">
        <w:rPr>
          <w:rStyle w:val="FootnoteReference"/>
          <w:rFonts w:cs="Arial"/>
          <w:color w:val="auto"/>
          <w:sz w:val="22"/>
          <w:szCs w:val="22"/>
        </w:rPr>
        <w:footnoteReference w:id="2"/>
      </w:r>
      <w:r w:rsidRPr="008223B9">
        <w:rPr>
          <w:rFonts w:cs="Arial"/>
          <w:color w:val="auto"/>
          <w:sz w:val="22"/>
          <w:szCs w:val="22"/>
        </w:rPr>
        <w:t xml:space="preserve">. </w:t>
      </w:r>
    </w:p>
    <w:p w14:paraId="1FE551D8"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Eligible projects must be endorsed by industry, such as through an industry association/ organisation or relevant local business.</w:t>
      </w:r>
    </w:p>
    <w:p w14:paraId="3B818CBB" w14:textId="0C44C457" w:rsidR="008223B9" w:rsidRPr="008223B9" w:rsidRDefault="008223B9" w:rsidP="008223B9">
      <w:pPr>
        <w:pStyle w:val="Heading2"/>
        <w:rPr>
          <w:rFonts w:ascii="Arial" w:hAnsi="Arial" w:cs="Arial"/>
          <w:color w:val="auto"/>
        </w:rPr>
      </w:pPr>
      <w:bookmarkStart w:id="11" w:name="_Toc113549359"/>
      <w:r w:rsidRPr="008223B9">
        <w:rPr>
          <w:rFonts w:ascii="Arial" w:hAnsi="Arial" w:cs="Arial"/>
          <w:color w:val="auto"/>
        </w:rPr>
        <w:t>3.2</w:t>
      </w:r>
      <w:r w:rsidRPr="008223B9">
        <w:rPr>
          <w:rFonts w:ascii="Arial" w:hAnsi="Arial" w:cs="Arial"/>
          <w:color w:val="auto"/>
        </w:rPr>
        <w:tab/>
        <w:t>Ineligible entities</w:t>
      </w:r>
      <w:bookmarkEnd w:id="11"/>
    </w:p>
    <w:p w14:paraId="7400C3C9" w14:textId="77777777" w:rsidR="008223B9" w:rsidRPr="008223B9" w:rsidRDefault="008223B9" w:rsidP="008223B9">
      <w:pPr>
        <w:rPr>
          <w:rFonts w:ascii="Arial" w:hAnsi="Arial" w:cs="Arial"/>
        </w:rPr>
      </w:pPr>
      <w:r w:rsidRPr="008223B9">
        <w:rPr>
          <w:rFonts w:ascii="Arial" w:hAnsi="Arial" w:cs="Arial"/>
        </w:rPr>
        <w:t>Organisations that are not TAFEs, do not hold a current Skills First VET Funding Contract, are not RTOs that offer specialised training in agriculture in Victoria, or are not Learn Locals are ineligible to apply.</w:t>
      </w:r>
    </w:p>
    <w:p w14:paraId="5C63FEC3" w14:textId="77777777" w:rsidR="008223B9" w:rsidRPr="008223B9" w:rsidRDefault="008223B9" w:rsidP="008223B9">
      <w:pPr>
        <w:rPr>
          <w:rFonts w:ascii="Arial" w:hAnsi="Arial" w:cs="Arial"/>
        </w:rPr>
      </w:pPr>
      <w:r w:rsidRPr="008223B9">
        <w:rPr>
          <w:rFonts w:ascii="Arial" w:hAnsi="Arial" w:cs="Arial"/>
        </w:rPr>
        <w:t xml:space="preserve">Organisations that are ineligible to apply </w:t>
      </w:r>
      <w:proofErr w:type="gramStart"/>
      <w:r w:rsidRPr="008223B9">
        <w:rPr>
          <w:rFonts w:ascii="Arial" w:hAnsi="Arial" w:cs="Arial"/>
        </w:rPr>
        <w:t>in their own right for</w:t>
      </w:r>
      <w:proofErr w:type="gramEnd"/>
      <w:r w:rsidRPr="008223B9">
        <w:rPr>
          <w:rFonts w:ascii="Arial" w:hAnsi="Arial" w:cs="Arial"/>
        </w:rPr>
        <w:t xml:space="preserve"> the ATTF can partner with an eligible lead applicant on projects. Examples of organisations that may want to partner on applications are:</w:t>
      </w:r>
    </w:p>
    <w:p w14:paraId="03316BB7"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agricultural industry associations</w:t>
      </w:r>
    </w:p>
    <w:p w14:paraId="19FDFC09"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representative groups for the training sector</w:t>
      </w:r>
      <w:r w:rsidRPr="008223B9">
        <w:rPr>
          <w:rStyle w:val="FootnoteReference"/>
          <w:rFonts w:cs="Arial"/>
          <w:color w:val="auto"/>
          <w:sz w:val="22"/>
          <w:szCs w:val="22"/>
        </w:rPr>
        <w:footnoteReference w:id="3"/>
      </w:r>
      <w:r w:rsidRPr="008223B9">
        <w:rPr>
          <w:rFonts w:cs="Arial"/>
          <w:color w:val="auto"/>
          <w:sz w:val="22"/>
          <w:szCs w:val="22"/>
        </w:rPr>
        <w:t>.</w:t>
      </w:r>
    </w:p>
    <w:p w14:paraId="3FBAB3B9" w14:textId="4DE8BE43" w:rsidR="008223B9" w:rsidRPr="008223B9" w:rsidRDefault="008223B9" w:rsidP="008223B9">
      <w:pPr>
        <w:pStyle w:val="Heading2"/>
        <w:rPr>
          <w:rFonts w:ascii="Arial" w:hAnsi="Arial" w:cs="Arial"/>
          <w:color w:val="auto"/>
        </w:rPr>
      </w:pPr>
      <w:bookmarkStart w:id="12" w:name="_Toc113549360"/>
      <w:r w:rsidRPr="008223B9">
        <w:rPr>
          <w:rFonts w:ascii="Arial" w:hAnsi="Arial" w:cs="Arial"/>
          <w:color w:val="auto"/>
        </w:rPr>
        <w:t>3.3</w:t>
      </w:r>
      <w:r w:rsidRPr="008223B9">
        <w:rPr>
          <w:rFonts w:ascii="Arial" w:hAnsi="Arial" w:cs="Arial"/>
          <w:color w:val="auto"/>
        </w:rPr>
        <w:tab/>
        <w:t>Mandatory Documentation and Information Requirements</w:t>
      </w:r>
      <w:bookmarkEnd w:id="12"/>
    </w:p>
    <w:p w14:paraId="788D9180" w14:textId="77777777" w:rsidR="008223B9" w:rsidRPr="008223B9" w:rsidRDefault="008223B9" w:rsidP="008223B9">
      <w:pPr>
        <w:rPr>
          <w:rFonts w:ascii="Arial" w:hAnsi="Arial" w:cs="Arial"/>
        </w:rPr>
      </w:pPr>
      <w:r w:rsidRPr="008223B9">
        <w:rPr>
          <w:rFonts w:ascii="Arial" w:hAnsi="Arial" w:cs="Arial"/>
        </w:rPr>
        <w:t>Applicants must:</w:t>
      </w:r>
    </w:p>
    <w:p w14:paraId="6A13DEC6"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Provide a proposal for a project that meets the objectives of the ATTF</w:t>
      </w:r>
    </w:p>
    <w:p w14:paraId="175634C3" w14:textId="77777777" w:rsidR="008223B9" w:rsidRPr="008223B9" w:rsidRDefault="008223B9" w:rsidP="008223B9">
      <w:pPr>
        <w:pStyle w:val="ListParagraph"/>
        <w:numPr>
          <w:ilvl w:val="1"/>
          <w:numId w:val="3"/>
        </w:numPr>
        <w:rPr>
          <w:rFonts w:cs="Arial"/>
          <w:color w:val="auto"/>
          <w:sz w:val="22"/>
          <w:szCs w:val="22"/>
        </w:rPr>
      </w:pPr>
      <w:r w:rsidRPr="008223B9">
        <w:rPr>
          <w:rFonts w:cs="Arial"/>
          <w:color w:val="auto"/>
          <w:sz w:val="22"/>
          <w:szCs w:val="22"/>
        </w:rPr>
        <w:t>Proposal includes information about how the investment in the project will provide benefits after the project is completed (succession plan).</w:t>
      </w:r>
    </w:p>
    <w:p w14:paraId="6132E6B8" w14:textId="77777777" w:rsidR="008223B9" w:rsidRPr="008223B9" w:rsidRDefault="008223B9" w:rsidP="008223B9">
      <w:pPr>
        <w:pStyle w:val="ListParagraph"/>
        <w:numPr>
          <w:ilvl w:val="1"/>
          <w:numId w:val="3"/>
        </w:numPr>
        <w:rPr>
          <w:rFonts w:cs="Arial"/>
          <w:color w:val="auto"/>
          <w:sz w:val="22"/>
          <w:szCs w:val="22"/>
        </w:rPr>
      </w:pPr>
      <w:r w:rsidRPr="008223B9">
        <w:rPr>
          <w:rFonts w:cs="Arial"/>
          <w:color w:val="auto"/>
          <w:sz w:val="22"/>
          <w:szCs w:val="22"/>
        </w:rPr>
        <w:lastRenderedPageBreak/>
        <w:t xml:space="preserve">Proposal includes detailed budget with robust rationale using the budget template provided. Items (equipment or other products) over $20,000 (GST exclusive) should include either a copy of a quote from suppliers (either informal, </w:t>
      </w:r>
      <w:proofErr w:type="gramStart"/>
      <w:r w:rsidRPr="008223B9">
        <w:rPr>
          <w:rFonts w:cs="Arial"/>
          <w:color w:val="auto"/>
          <w:sz w:val="22"/>
          <w:szCs w:val="22"/>
        </w:rPr>
        <w:t>e.g.</w:t>
      </w:r>
      <w:proofErr w:type="gramEnd"/>
      <w:r w:rsidRPr="008223B9">
        <w:rPr>
          <w:rFonts w:cs="Arial"/>
          <w:color w:val="auto"/>
          <w:sz w:val="22"/>
          <w:szCs w:val="22"/>
        </w:rPr>
        <w:t xml:space="preserve"> email from supplier or formal, e.g. on letterhead) or a link to the website where the supplier advertises the equipment price. All items listed in the budget should be exclusive of GST.</w:t>
      </w:r>
    </w:p>
    <w:p w14:paraId="78C9FE6D"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Provide signed approval from the organisation’s Chief Financial Officer (or equivalent) regarding the project’s proposed budget.</w:t>
      </w:r>
    </w:p>
    <w:p w14:paraId="783296C7"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Provide at least one statement of support from an agriculture industry organisation such as an industry association or local agricultural business that details how the project will address future industry needs.</w:t>
      </w:r>
    </w:p>
    <w:p w14:paraId="47CF41CF"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Provide evidence of current status as an eligible organisation (</w:t>
      </w:r>
      <w:proofErr w:type="gramStart"/>
      <w:r w:rsidRPr="008223B9">
        <w:rPr>
          <w:rFonts w:cs="Arial"/>
          <w:color w:val="auto"/>
          <w:sz w:val="22"/>
          <w:szCs w:val="22"/>
        </w:rPr>
        <w:t>e.g.</w:t>
      </w:r>
      <w:proofErr w:type="gramEnd"/>
      <w:r w:rsidRPr="008223B9">
        <w:rPr>
          <w:rFonts w:cs="Arial"/>
          <w:color w:val="auto"/>
          <w:sz w:val="22"/>
          <w:szCs w:val="22"/>
        </w:rPr>
        <w:t xml:space="preserve"> Skills First, RTO or Learn Local Registration).</w:t>
      </w:r>
    </w:p>
    <w:p w14:paraId="751C833A"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The level of detail in evidence provided in the application should be proportional to the size and complexity of the project (</w:t>
      </w:r>
      <w:proofErr w:type="gramStart"/>
      <w:r w:rsidRPr="008223B9">
        <w:rPr>
          <w:rFonts w:cs="Arial"/>
          <w:color w:val="auto"/>
          <w:sz w:val="22"/>
          <w:szCs w:val="22"/>
        </w:rPr>
        <w:t>e.g.</w:t>
      </w:r>
      <w:proofErr w:type="gramEnd"/>
      <w:r w:rsidRPr="008223B9">
        <w:rPr>
          <w:rFonts w:cs="Arial"/>
          <w:color w:val="auto"/>
          <w:sz w:val="22"/>
          <w:szCs w:val="22"/>
        </w:rPr>
        <w:t xml:space="preserve"> number of industry groups supporting the application).</w:t>
      </w:r>
    </w:p>
    <w:p w14:paraId="61E350E3"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If requested by Agriculture Victoria, provide further evidence in relation to any of the eligibility requirements above.</w:t>
      </w:r>
    </w:p>
    <w:p w14:paraId="101C5BF1" w14:textId="64EB9A32" w:rsidR="008223B9" w:rsidRPr="008223B9" w:rsidRDefault="008223B9" w:rsidP="008223B9">
      <w:pPr>
        <w:pStyle w:val="Heading1"/>
        <w:rPr>
          <w:rFonts w:ascii="Arial" w:hAnsi="Arial" w:cs="Arial"/>
          <w:color w:val="auto"/>
        </w:rPr>
      </w:pPr>
      <w:bookmarkStart w:id="13" w:name="_Toc113549361"/>
      <w:r>
        <w:rPr>
          <w:rFonts w:ascii="Arial" w:hAnsi="Arial" w:cs="Arial"/>
          <w:color w:val="auto"/>
        </w:rPr>
        <w:t>4</w:t>
      </w:r>
      <w:r>
        <w:rPr>
          <w:rFonts w:ascii="Arial" w:hAnsi="Arial" w:cs="Arial"/>
          <w:color w:val="auto"/>
        </w:rPr>
        <w:tab/>
      </w:r>
      <w:r w:rsidRPr="008223B9">
        <w:rPr>
          <w:rFonts w:ascii="Arial" w:hAnsi="Arial" w:cs="Arial"/>
          <w:color w:val="auto"/>
        </w:rPr>
        <w:t>Project Eligibility</w:t>
      </w:r>
      <w:bookmarkEnd w:id="13"/>
    </w:p>
    <w:p w14:paraId="2AFFEDF7" w14:textId="77777777" w:rsidR="008223B9" w:rsidRPr="008223B9" w:rsidRDefault="008223B9" w:rsidP="008223B9">
      <w:pPr>
        <w:rPr>
          <w:rFonts w:ascii="Arial" w:hAnsi="Arial" w:cs="Arial"/>
        </w:rPr>
      </w:pPr>
      <w:r w:rsidRPr="008223B9">
        <w:rPr>
          <w:rFonts w:ascii="Arial" w:hAnsi="Arial" w:cs="Arial"/>
        </w:rPr>
        <w:t>The ATTF will support agriculture projects. A full description of how ‘agriculture’ is defined for the purpose of ATTF eligibility is provided in the glossary.</w:t>
      </w:r>
    </w:p>
    <w:p w14:paraId="3758E629" w14:textId="77777777" w:rsidR="008223B9" w:rsidRPr="008223B9" w:rsidRDefault="008223B9" w:rsidP="008223B9">
      <w:pPr>
        <w:rPr>
          <w:rFonts w:ascii="Arial" w:hAnsi="Arial" w:cs="Arial"/>
        </w:rPr>
      </w:pPr>
      <w:r w:rsidRPr="008223B9">
        <w:rPr>
          <w:rFonts w:ascii="Arial" w:hAnsi="Arial" w:cs="Arial"/>
        </w:rPr>
        <w:t>Funding is available for equipment, curriculum design, training delivery and other costs for projects that deliver new or revamped agriculture training that meets the Program objectives. Applications can include more than one of the following deliverables.</w:t>
      </w:r>
    </w:p>
    <w:p w14:paraId="68828D08" w14:textId="4675759F" w:rsidR="008223B9" w:rsidRPr="008223B9" w:rsidRDefault="008223B9" w:rsidP="008223B9">
      <w:pPr>
        <w:pStyle w:val="Heading2"/>
        <w:rPr>
          <w:rFonts w:ascii="Arial" w:hAnsi="Arial" w:cs="Arial"/>
          <w:color w:val="auto"/>
        </w:rPr>
      </w:pPr>
      <w:bookmarkStart w:id="14" w:name="_Toc113549362"/>
      <w:r>
        <w:rPr>
          <w:rFonts w:ascii="Arial" w:hAnsi="Arial" w:cs="Arial"/>
          <w:color w:val="auto"/>
        </w:rPr>
        <w:t>4.1</w:t>
      </w:r>
      <w:r>
        <w:rPr>
          <w:rFonts w:ascii="Arial" w:hAnsi="Arial" w:cs="Arial"/>
          <w:color w:val="auto"/>
        </w:rPr>
        <w:tab/>
      </w:r>
      <w:r w:rsidRPr="008223B9">
        <w:rPr>
          <w:rFonts w:ascii="Arial" w:hAnsi="Arial" w:cs="Arial"/>
          <w:color w:val="auto"/>
        </w:rPr>
        <w:t>Curriculum design and delivery</w:t>
      </w:r>
      <w:bookmarkEnd w:id="14"/>
    </w:p>
    <w:p w14:paraId="73695973" w14:textId="77777777" w:rsidR="008223B9" w:rsidRPr="008223B9" w:rsidRDefault="008223B9" w:rsidP="008223B9">
      <w:pPr>
        <w:rPr>
          <w:rFonts w:ascii="Arial" w:hAnsi="Arial" w:cs="Arial"/>
        </w:rPr>
      </w:pPr>
      <w:r w:rsidRPr="008223B9">
        <w:rPr>
          <w:rFonts w:ascii="Arial" w:hAnsi="Arial" w:cs="Arial"/>
        </w:rPr>
        <w:t>The costs of designing and delivering new training can be included in project proposals. This may include:</w:t>
      </w:r>
    </w:p>
    <w:p w14:paraId="2B99800C"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 xml:space="preserve">instructional design for new courses, </w:t>
      </w:r>
      <w:proofErr w:type="gramStart"/>
      <w:r w:rsidRPr="008223B9">
        <w:rPr>
          <w:rFonts w:cs="Arial"/>
          <w:color w:val="auto"/>
          <w:sz w:val="22"/>
          <w:szCs w:val="22"/>
        </w:rPr>
        <w:t>subjects</w:t>
      </w:r>
      <w:proofErr w:type="gramEnd"/>
      <w:r w:rsidRPr="008223B9">
        <w:rPr>
          <w:rFonts w:cs="Arial"/>
          <w:color w:val="auto"/>
          <w:sz w:val="22"/>
          <w:szCs w:val="22"/>
        </w:rPr>
        <w:t xml:space="preserve"> and training packages or to significantly update existing training</w:t>
      </w:r>
    </w:p>
    <w:p w14:paraId="3AD21C29"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subject matter expert costs for design of new content</w:t>
      </w:r>
    </w:p>
    <w:p w14:paraId="298F1588"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senior educator costs</w:t>
      </w:r>
    </w:p>
    <w:p w14:paraId="7139C491"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teaching staff costs (including on-costs)</w:t>
      </w:r>
    </w:p>
    <w:p w14:paraId="5036D76D"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training and assessment resource development</w:t>
      </w:r>
    </w:p>
    <w:p w14:paraId="62F3480A"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other delivery costs, such as guest speakers</w:t>
      </w:r>
    </w:p>
    <w:p w14:paraId="2A1F8080"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costs associated with developing an accredited course where there is an identified gap in the Agriculture, Horticulture and Conservation and Land Management (AHC) Training Package</w:t>
      </w:r>
    </w:p>
    <w:p w14:paraId="15917250"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travel costs including transport, accommodation and meal allowances for travel associated with delivery (</w:t>
      </w:r>
      <w:proofErr w:type="gramStart"/>
      <w:r w:rsidRPr="008223B9">
        <w:rPr>
          <w:rFonts w:cs="Arial"/>
          <w:color w:val="auto"/>
          <w:sz w:val="22"/>
          <w:szCs w:val="22"/>
        </w:rPr>
        <w:t>e.g.</w:t>
      </w:r>
      <w:proofErr w:type="gramEnd"/>
      <w:r w:rsidRPr="008223B9">
        <w:rPr>
          <w:rFonts w:cs="Arial"/>
          <w:color w:val="auto"/>
          <w:sz w:val="22"/>
          <w:szCs w:val="22"/>
        </w:rPr>
        <w:t xml:space="preserve"> satellite delivery and workplace visits)</w:t>
      </w:r>
    </w:p>
    <w:p w14:paraId="07DB294E"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teacher upskilling required for delivery of training to students (</w:t>
      </w:r>
      <w:proofErr w:type="gramStart"/>
      <w:r w:rsidRPr="008223B9">
        <w:rPr>
          <w:rFonts w:cs="Arial"/>
          <w:color w:val="auto"/>
          <w:sz w:val="22"/>
          <w:szCs w:val="22"/>
        </w:rPr>
        <w:t>e.g.</w:t>
      </w:r>
      <w:proofErr w:type="gramEnd"/>
      <w:r w:rsidRPr="008223B9">
        <w:rPr>
          <w:rFonts w:cs="Arial"/>
          <w:color w:val="auto"/>
          <w:sz w:val="22"/>
          <w:szCs w:val="22"/>
        </w:rPr>
        <w:t xml:space="preserve"> relevant professional development, specialist knowledge, software, workplace assessors).</w:t>
      </w:r>
    </w:p>
    <w:p w14:paraId="7DCC3853" w14:textId="77777777" w:rsidR="008223B9" w:rsidRPr="008223B9" w:rsidRDefault="008223B9" w:rsidP="008223B9">
      <w:pPr>
        <w:pStyle w:val="ListParagraph"/>
        <w:numPr>
          <w:ilvl w:val="0"/>
          <w:numId w:val="4"/>
        </w:numPr>
        <w:rPr>
          <w:rFonts w:cs="Arial"/>
          <w:color w:val="auto"/>
          <w:sz w:val="22"/>
          <w:szCs w:val="22"/>
        </w:rPr>
      </w:pPr>
      <w:r w:rsidRPr="008223B9">
        <w:rPr>
          <w:rFonts w:cs="Arial"/>
          <w:color w:val="auto"/>
          <w:sz w:val="22"/>
          <w:szCs w:val="22"/>
        </w:rPr>
        <w:t>licenses required for delivery of the project such as software, trade license requirements, equipment compliance license or other licenses required to undertake qualification delivery or training.</w:t>
      </w:r>
    </w:p>
    <w:p w14:paraId="1E99C1B0" w14:textId="77777777" w:rsidR="008223B9" w:rsidRPr="008223B9" w:rsidRDefault="008223B9" w:rsidP="008223B9">
      <w:pPr>
        <w:rPr>
          <w:rFonts w:ascii="Arial" w:hAnsi="Arial" w:cs="Arial"/>
        </w:rPr>
      </w:pPr>
      <w:r w:rsidRPr="008223B9">
        <w:rPr>
          <w:rFonts w:ascii="Arial" w:hAnsi="Arial" w:cs="Arial"/>
        </w:rPr>
        <w:t>Projects can relate to pre-accredited training programs, accredited courses, micro- credentialling (such as skill sets) or non-accredited training. The application needs to outline why the particular approach is proposed (</w:t>
      </w:r>
      <w:proofErr w:type="gramStart"/>
      <w:r w:rsidRPr="008223B9">
        <w:rPr>
          <w:rFonts w:ascii="Arial" w:hAnsi="Arial" w:cs="Arial"/>
        </w:rPr>
        <w:t>e.g.</w:t>
      </w:r>
      <w:proofErr w:type="gramEnd"/>
      <w:r w:rsidRPr="008223B9">
        <w:rPr>
          <w:rFonts w:ascii="Arial" w:hAnsi="Arial" w:cs="Arial"/>
        </w:rPr>
        <w:t xml:space="preserve"> why pre-accredited, or non-accredited).</w:t>
      </w:r>
    </w:p>
    <w:p w14:paraId="0BA84865" w14:textId="77777777" w:rsidR="008223B9" w:rsidRPr="008223B9" w:rsidRDefault="008223B9" w:rsidP="008223B9">
      <w:pPr>
        <w:rPr>
          <w:rFonts w:ascii="Arial" w:hAnsi="Arial" w:cs="Arial"/>
        </w:rPr>
      </w:pPr>
      <w:r w:rsidRPr="008223B9">
        <w:rPr>
          <w:rFonts w:ascii="Arial" w:hAnsi="Arial" w:cs="Arial"/>
        </w:rPr>
        <w:lastRenderedPageBreak/>
        <w:t>Where training is not accredited, the applicant must demonstrate that industry has been consulted and that the proposed training is tied to an identified job opportunity or skills demand, or as preparation for further learning.</w:t>
      </w:r>
    </w:p>
    <w:p w14:paraId="51EDFACB" w14:textId="77777777" w:rsidR="008223B9" w:rsidRPr="008223B9" w:rsidRDefault="008223B9" w:rsidP="008223B9">
      <w:pPr>
        <w:rPr>
          <w:rFonts w:ascii="Arial" w:hAnsi="Arial" w:cs="Arial"/>
        </w:rPr>
      </w:pPr>
      <w:r w:rsidRPr="008223B9">
        <w:rPr>
          <w:rFonts w:ascii="Arial" w:hAnsi="Arial" w:cs="Arial"/>
        </w:rPr>
        <w:t>Active consideration should also be given to the subsequent development of a credential accredited through the Victorian Registration and Qualifications Authority (VRQA).</w:t>
      </w:r>
    </w:p>
    <w:p w14:paraId="31BB2F1D" w14:textId="77777777" w:rsidR="008223B9" w:rsidRPr="008223B9" w:rsidRDefault="008223B9" w:rsidP="008223B9">
      <w:pPr>
        <w:rPr>
          <w:rFonts w:ascii="Arial" w:hAnsi="Arial" w:cs="Arial"/>
        </w:rPr>
      </w:pPr>
      <w:r w:rsidRPr="008223B9">
        <w:rPr>
          <w:rFonts w:ascii="Arial" w:hAnsi="Arial" w:cs="Arial"/>
        </w:rPr>
        <w:t>Applications that include curriculum design and delivery will need to:</w:t>
      </w:r>
    </w:p>
    <w:p w14:paraId="750B3E8E"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 xml:space="preserve">demonstrate links to the broader agriculture skills development </w:t>
      </w:r>
      <w:proofErr w:type="gramStart"/>
      <w:r w:rsidRPr="008223B9">
        <w:rPr>
          <w:rFonts w:cs="Arial"/>
          <w:color w:val="auto"/>
          <w:sz w:val="22"/>
          <w:szCs w:val="22"/>
        </w:rPr>
        <w:t>pipeline;</w:t>
      </w:r>
      <w:proofErr w:type="gramEnd"/>
    </w:p>
    <w:p w14:paraId="4B6BB151"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include farm safety as a consideration in their design and delivery.</w:t>
      </w:r>
    </w:p>
    <w:p w14:paraId="7D7E4145" w14:textId="77777777" w:rsidR="008223B9" w:rsidRPr="008223B9" w:rsidRDefault="008223B9" w:rsidP="008223B9">
      <w:pPr>
        <w:rPr>
          <w:rFonts w:ascii="Arial" w:hAnsi="Arial" w:cs="Arial"/>
        </w:rPr>
      </w:pPr>
      <w:r w:rsidRPr="008223B9">
        <w:rPr>
          <w:rFonts w:ascii="Arial" w:hAnsi="Arial" w:cs="Arial"/>
        </w:rPr>
        <w:t>If successful, applicants will need to use quality assurance templates and resources, in line with the Department of Education and Training requirements.</w:t>
      </w:r>
    </w:p>
    <w:p w14:paraId="6F9AF3E4" w14:textId="4660F378" w:rsidR="008223B9" w:rsidRPr="008223B9" w:rsidRDefault="008223B9" w:rsidP="008223B9">
      <w:pPr>
        <w:pStyle w:val="Heading2"/>
        <w:rPr>
          <w:rFonts w:ascii="Arial" w:hAnsi="Arial" w:cs="Arial"/>
          <w:color w:val="auto"/>
        </w:rPr>
      </w:pPr>
      <w:bookmarkStart w:id="15" w:name="_Toc113549363"/>
      <w:r>
        <w:rPr>
          <w:rFonts w:ascii="Arial" w:hAnsi="Arial" w:cs="Arial"/>
          <w:color w:val="auto"/>
        </w:rPr>
        <w:t>4.2</w:t>
      </w:r>
      <w:r>
        <w:rPr>
          <w:rFonts w:ascii="Arial" w:hAnsi="Arial" w:cs="Arial"/>
          <w:color w:val="auto"/>
        </w:rPr>
        <w:tab/>
      </w:r>
      <w:r w:rsidRPr="008223B9">
        <w:rPr>
          <w:rFonts w:ascii="Arial" w:hAnsi="Arial" w:cs="Arial"/>
          <w:color w:val="auto"/>
        </w:rPr>
        <w:t xml:space="preserve">Equipment, </w:t>
      </w:r>
      <w:proofErr w:type="gramStart"/>
      <w:r w:rsidRPr="008223B9">
        <w:rPr>
          <w:rFonts w:ascii="Arial" w:hAnsi="Arial" w:cs="Arial"/>
          <w:color w:val="auto"/>
        </w:rPr>
        <w:t>technology</w:t>
      </w:r>
      <w:proofErr w:type="gramEnd"/>
      <w:r w:rsidRPr="008223B9">
        <w:rPr>
          <w:rFonts w:ascii="Arial" w:hAnsi="Arial" w:cs="Arial"/>
          <w:color w:val="auto"/>
        </w:rPr>
        <w:t xml:space="preserve"> and capital refurbishment</w:t>
      </w:r>
      <w:bookmarkEnd w:id="15"/>
    </w:p>
    <w:p w14:paraId="268B6D89" w14:textId="77777777" w:rsidR="008223B9" w:rsidRPr="008223B9" w:rsidRDefault="008223B9" w:rsidP="008223B9">
      <w:pPr>
        <w:rPr>
          <w:rFonts w:ascii="Arial" w:hAnsi="Arial" w:cs="Arial"/>
        </w:rPr>
      </w:pPr>
      <w:r w:rsidRPr="008223B9">
        <w:rPr>
          <w:rFonts w:ascii="Arial" w:hAnsi="Arial" w:cs="Arial"/>
        </w:rPr>
        <w:t>Equipment, including installation costs for large equipment, can be funded through the Program where there is a demonstrated need for the equipment for the delivery of agriculture-related content within the scope of the proposed project.</w:t>
      </w:r>
    </w:p>
    <w:p w14:paraId="4DF5F669" w14:textId="77777777" w:rsidR="008223B9" w:rsidRPr="008223B9" w:rsidRDefault="008223B9" w:rsidP="008223B9">
      <w:pPr>
        <w:rPr>
          <w:rFonts w:ascii="Arial" w:hAnsi="Arial" w:cs="Arial"/>
        </w:rPr>
      </w:pPr>
      <w:r w:rsidRPr="008223B9">
        <w:rPr>
          <w:rFonts w:ascii="Arial" w:hAnsi="Arial" w:cs="Arial"/>
        </w:rPr>
        <w:t>Projects can also include:</w:t>
      </w:r>
    </w:p>
    <w:p w14:paraId="6FFB0B95"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Training of staff for the new equipment (</w:t>
      </w:r>
      <w:proofErr w:type="gramStart"/>
      <w:r w:rsidRPr="008223B9">
        <w:rPr>
          <w:rFonts w:cs="Arial"/>
          <w:color w:val="auto"/>
          <w:sz w:val="22"/>
          <w:szCs w:val="22"/>
        </w:rPr>
        <w:t>e.g.</w:t>
      </w:r>
      <w:proofErr w:type="gramEnd"/>
      <w:r w:rsidRPr="008223B9">
        <w:rPr>
          <w:rFonts w:cs="Arial"/>
          <w:color w:val="auto"/>
          <w:sz w:val="22"/>
          <w:szCs w:val="22"/>
        </w:rPr>
        <w:t xml:space="preserve"> relevant professional development, training from product supplier or elsewhere)</w:t>
      </w:r>
    </w:p>
    <w:p w14:paraId="0CF8537C"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Refurbishment of existing buildings where there is a strong case that it is needed for delivery of the project, for example sound proofing. Capital refurbishment expenditure must not exceed a maximum of 25 per cent of the project costs.</w:t>
      </w:r>
    </w:p>
    <w:p w14:paraId="2DA7755E"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Costs to enable satellite delivery (such as room hire), freight and delivery, mobile units (</w:t>
      </w:r>
      <w:proofErr w:type="gramStart"/>
      <w:r w:rsidRPr="008223B9">
        <w:rPr>
          <w:rFonts w:cs="Arial"/>
          <w:color w:val="auto"/>
          <w:sz w:val="22"/>
          <w:szCs w:val="22"/>
        </w:rPr>
        <w:t>e.g.</w:t>
      </w:r>
      <w:proofErr w:type="gramEnd"/>
      <w:r w:rsidRPr="008223B9">
        <w:rPr>
          <w:rFonts w:cs="Arial"/>
          <w:color w:val="auto"/>
          <w:sz w:val="22"/>
          <w:szCs w:val="22"/>
        </w:rPr>
        <w:t xml:space="preserve"> trailers or dedicated vehicles).</w:t>
      </w:r>
    </w:p>
    <w:p w14:paraId="0C4E6F45" w14:textId="77777777" w:rsidR="008223B9" w:rsidRPr="008223B9" w:rsidRDefault="008223B9" w:rsidP="008223B9">
      <w:pPr>
        <w:rPr>
          <w:rFonts w:ascii="Arial" w:hAnsi="Arial" w:cs="Arial"/>
        </w:rPr>
      </w:pPr>
      <w:r w:rsidRPr="008223B9">
        <w:rPr>
          <w:rFonts w:ascii="Arial" w:hAnsi="Arial" w:cs="Arial"/>
        </w:rPr>
        <w:t>Applications will be required to demonstrate how new equipment and technology will be actively managed over the course of its life. Some items become outdated quickly (</w:t>
      </w:r>
      <w:proofErr w:type="gramStart"/>
      <w:r w:rsidRPr="008223B9">
        <w:rPr>
          <w:rFonts w:ascii="Arial" w:hAnsi="Arial" w:cs="Arial"/>
        </w:rPr>
        <w:t>e.g.</w:t>
      </w:r>
      <w:proofErr w:type="gramEnd"/>
      <w:r w:rsidRPr="008223B9">
        <w:rPr>
          <w:rFonts w:ascii="Arial" w:hAnsi="Arial" w:cs="Arial"/>
        </w:rPr>
        <w:t xml:space="preserve"> technology) or require ongoing and long-term maintenance, insurance and other costs (e.g. vehicles).</w:t>
      </w:r>
    </w:p>
    <w:p w14:paraId="380F4E8F" w14:textId="26A892F7" w:rsidR="008223B9" w:rsidRPr="008223B9" w:rsidRDefault="008223B9" w:rsidP="008223B9">
      <w:pPr>
        <w:pStyle w:val="Heading2"/>
        <w:rPr>
          <w:rFonts w:ascii="Arial" w:hAnsi="Arial" w:cs="Arial"/>
          <w:color w:val="auto"/>
        </w:rPr>
      </w:pPr>
      <w:bookmarkStart w:id="16" w:name="_Toc113549364"/>
      <w:r>
        <w:rPr>
          <w:rFonts w:ascii="Arial" w:hAnsi="Arial" w:cs="Arial"/>
          <w:color w:val="auto"/>
        </w:rPr>
        <w:t>4.3</w:t>
      </w:r>
      <w:r>
        <w:rPr>
          <w:rFonts w:ascii="Arial" w:hAnsi="Arial" w:cs="Arial"/>
          <w:color w:val="auto"/>
        </w:rPr>
        <w:tab/>
      </w:r>
      <w:r w:rsidRPr="008223B9">
        <w:rPr>
          <w:rFonts w:ascii="Arial" w:hAnsi="Arial" w:cs="Arial"/>
          <w:color w:val="auto"/>
        </w:rPr>
        <w:t>Other costs</w:t>
      </w:r>
      <w:bookmarkEnd w:id="16"/>
    </w:p>
    <w:p w14:paraId="3E458909" w14:textId="77777777" w:rsidR="008223B9" w:rsidRPr="008223B9" w:rsidRDefault="008223B9" w:rsidP="008223B9">
      <w:pPr>
        <w:rPr>
          <w:rFonts w:ascii="Arial" w:hAnsi="Arial" w:cs="Arial"/>
        </w:rPr>
      </w:pPr>
      <w:r w:rsidRPr="008223B9">
        <w:rPr>
          <w:rFonts w:ascii="Arial" w:hAnsi="Arial" w:cs="Arial"/>
        </w:rPr>
        <w:t>Other costs that relate to delivering a proposed project can be included in proposals. Applications will need to specify these costs and demonstrate their direct relationship to the project.</w:t>
      </w:r>
    </w:p>
    <w:p w14:paraId="0CA6E3E2" w14:textId="77777777" w:rsidR="008223B9" w:rsidRPr="008223B9" w:rsidRDefault="008223B9" w:rsidP="008223B9">
      <w:pPr>
        <w:rPr>
          <w:rFonts w:ascii="Arial" w:hAnsi="Arial" w:cs="Arial"/>
        </w:rPr>
      </w:pPr>
      <w:r w:rsidRPr="008223B9">
        <w:rPr>
          <w:rFonts w:ascii="Arial" w:hAnsi="Arial" w:cs="Arial"/>
        </w:rPr>
        <w:t>This includes:</w:t>
      </w:r>
    </w:p>
    <w:p w14:paraId="7980FEC2"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 xml:space="preserve">Marketing costs to attract students to the training (design of promotional materials, production, </w:t>
      </w:r>
      <w:proofErr w:type="gramStart"/>
      <w:r w:rsidRPr="008223B9">
        <w:rPr>
          <w:rFonts w:cs="Arial"/>
          <w:color w:val="auto"/>
          <w:sz w:val="22"/>
          <w:szCs w:val="22"/>
        </w:rPr>
        <w:t>advertising</w:t>
      </w:r>
      <w:proofErr w:type="gramEnd"/>
      <w:r w:rsidRPr="008223B9">
        <w:rPr>
          <w:rFonts w:cs="Arial"/>
          <w:color w:val="auto"/>
          <w:sz w:val="22"/>
          <w:szCs w:val="22"/>
        </w:rPr>
        <w:t xml:space="preserve"> and other distribution costs) to a value no greater than 10 per cent of the total funding request.</w:t>
      </w:r>
    </w:p>
    <w:p w14:paraId="64BA5861"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Training of Jobs and Careers Centre staff to increase their capacity to support students to understand the links between the training and careers opportunities in agriculture.</w:t>
      </w:r>
    </w:p>
    <w:p w14:paraId="5BDD5D79"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Administrative costs combined with the project management costs must not exceed 20 per cent of the total funding request. A robust rationale and costings must be included in the budget template.</w:t>
      </w:r>
    </w:p>
    <w:p w14:paraId="5657DBCC"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The cost of reporting and evaluation are considered legitimate project management costs and need to be included in applications.</w:t>
      </w:r>
    </w:p>
    <w:p w14:paraId="03981015" w14:textId="45B05DC4" w:rsidR="008223B9" w:rsidRPr="008223B9" w:rsidRDefault="008223B9" w:rsidP="008223B9">
      <w:pPr>
        <w:pStyle w:val="Heading2"/>
        <w:rPr>
          <w:rFonts w:ascii="Arial" w:hAnsi="Arial" w:cs="Arial"/>
          <w:color w:val="auto"/>
        </w:rPr>
      </w:pPr>
      <w:bookmarkStart w:id="17" w:name="_Toc113549365"/>
      <w:r>
        <w:rPr>
          <w:rFonts w:ascii="Arial" w:hAnsi="Arial" w:cs="Arial"/>
          <w:color w:val="auto"/>
        </w:rPr>
        <w:t>4.4</w:t>
      </w:r>
      <w:r>
        <w:rPr>
          <w:rFonts w:ascii="Arial" w:hAnsi="Arial" w:cs="Arial"/>
          <w:color w:val="auto"/>
        </w:rPr>
        <w:tab/>
      </w:r>
      <w:r w:rsidRPr="008223B9">
        <w:rPr>
          <w:rFonts w:ascii="Arial" w:hAnsi="Arial" w:cs="Arial"/>
          <w:color w:val="auto"/>
        </w:rPr>
        <w:t>Ineligible expenses</w:t>
      </w:r>
      <w:bookmarkEnd w:id="17"/>
    </w:p>
    <w:p w14:paraId="7BADA97A" w14:textId="77777777" w:rsidR="008223B9" w:rsidRPr="008223B9" w:rsidRDefault="008223B9" w:rsidP="008223B9">
      <w:pPr>
        <w:rPr>
          <w:rFonts w:ascii="Arial" w:hAnsi="Arial" w:cs="Arial"/>
        </w:rPr>
      </w:pPr>
      <w:r w:rsidRPr="008223B9">
        <w:rPr>
          <w:rFonts w:ascii="Arial" w:hAnsi="Arial" w:cs="Arial"/>
        </w:rPr>
        <w:t>Funding is not available for:</w:t>
      </w:r>
    </w:p>
    <w:p w14:paraId="504BA1D5"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lastRenderedPageBreak/>
        <w:t>Current ongoing costs, including Wi-Fi and electricity running costs for equipment being used as part of a project.</w:t>
      </w:r>
    </w:p>
    <w:p w14:paraId="008C539B"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Projects that have been completed or commenced before funding has been approved and agreements executed with DJPR.</w:t>
      </w:r>
    </w:p>
    <w:p w14:paraId="22701204"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Costs already funded through other programs or funding streams.</w:t>
      </w:r>
    </w:p>
    <w:p w14:paraId="406FD97A"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Costs covered under course overhead fees.</w:t>
      </w:r>
    </w:p>
    <w:p w14:paraId="1DF7013D"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Costs covered under material fees such as consumables, printing/photocopying.</w:t>
      </w:r>
    </w:p>
    <w:p w14:paraId="27F75023"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Construction of new buildings, or purchase of land for the construction of new buildings.</w:t>
      </w:r>
    </w:p>
    <w:p w14:paraId="55CA136C"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Capital expenditure other than refurbishment costs.</w:t>
      </w:r>
    </w:p>
    <w:p w14:paraId="445805BA"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Personal protective equipment required to maintain a COVID-safe learning environment (</w:t>
      </w:r>
      <w:proofErr w:type="gramStart"/>
      <w:r w:rsidRPr="008223B9">
        <w:rPr>
          <w:rFonts w:cs="Arial"/>
          <w:color w:val="auto"/>
          <w:sz w:val="22"/>
          <w:szCs w:val="22"/>
        </w:rPr>
        <w:t>e.g.</w:t>
      </w:r>
      <w:proofErr w:type="gramEnd"/>
      <w:r w:rsidRPr="008223B9">
        <w:rPr>
          <w:rFonts w:cs="Arial"/>
          <w:color w:val="auto"/>
          <w:sz w:val="22"/>
          <w:szCs w:val="22"/>
        </w:rPr>
        <w:t xml:space="preserve"> masks, gloves, hand sanitiser, Rapid Antigen Tests).</w:t>
      </w:r>
    </w:p>
    <w:p w14:paraId="7FE09532"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 xml:space="preserve">Business as usual costs and overheads costs. Course Coordinators are considered a part </w:t>
      </w:r>
      <w:proofErr w:type="gramStart"/>
      <w:r w:rsidRPr="008223B9">
        <w:rPr>
          <w:rFonts w:cs="Arial"/>
          <w:color w:val="auto"/>
          <w:sz w:val="22"/>
          <w:szCs w:val="22"/>
        </w:rPr>
        <w:t>of course overhead budgets</w:t>
      </w:r>
      <w:proofErr w:type="gramEnd"/>
      <w:r w:rsidRPr="008223B9">
        <w:rPr>
          <w:rFonts w:cs="Arial"/>
          <w:color w:val="auto"/>
          <w:sz w:val="22"/>
          <w:szCs w:val="22"/>
        </w:rPr>
        <w:t>. If a Course Coordinator is requested, please provide rationale for why this position is not included as part of course overheads.</w:t>
      </w:r>
    </w:p>
    <w:p w14:paraId="65C89D31"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Capital refurbishment that is more than 25 per cent of the total project budget.</w:t>
      </w:r>
    </w:p>
    <w:p w14:paraId="5C434EB8"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Marketing costs that are greater than 10 per cent of the total project budget.</w:t>
      </w:r>
    </w:p>
    <w:p w14:paraId="1D2FD498"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Combined administrative and project management costs that are greater than 20 per cent of the total project budget.</w:t>
      </w:r>
    </w:p>
    <w:p w14:paraId="4EFB8656"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Any other expenditure as determined by the Department in its sole and absolute discretion.</w:t>
      </w:r>
    </w:p>
    <w:p w14:paraId="225D7726" w14:textId="6E4C365A" w:rsidR="008223B9" w:rsidRPr="008223B9" w:rsidRDefault="008223B9" w:rsidP="008223B9">
      <w:pPr>
        <w:pStyle w:val="Heading2"/>
        <w:rPr>
          <w:rFonts w:ascii="Arial" w:hAnsi="Arial" w:cs="Arial"/>
          <w:color w:val="auto"/>
        </w:rPr>
      </w:pPr>
      <w:bookmarkStart w:id="18" w:name="_Toc113549366"/>
      <w:r>
        <w:rPr>
          <w:rFonts w:ascii="Arial" w:hAnsi="Arial" w:cs="Arial"/>
          <w:color w:val="auto"/>
        </w:rPr>
        <w:t>4.5</w:t>
      </w:r>
      <w:r>
        <w:rPr>
          <w:rFonts w:ascii="Arial" w:hAnsi="Arial" w:cs="Arial"/>
          <w:color w:val="auto"/>
        </w:rPr>
        <w:tab/>
      </w:r>
      <w:r w:rsidRPr="008223B9">
        <w:rPr>
          <w:rFonts w:ascii="Arial" w:hAnsi="Arial" w:cs="Arial"/>
          <w:color w:val="auto"/>
        </w:rPr>
        <w:t>Illustrative examples of projects</w:t>
      </w:r>
      <w:bookmarkEnd w:id="18"/>
    </w:p>
    <w:p w14:paraId="76B0A17A" w14:textId="77777777" w:rsidR="008223B9" w:rsidRPr="008223B9" w:rsidRDefault="008223B9" w:rsidP="008223B9">
      <w:pPr>
        <w:rPr>
          <w:rFonts w:ascii="Arial" w:hAnsi="Arial" w:cs="Arial"/>
        </w:rPr>
      </w:pPr>
      <w:r w:rsidRPr="008223B9">
        <w:rPr>
          <w:rFonts w:ascii="Arial" w:hAnsi="Arial" w:cs="Arial"/>
        </w:rPr>
        <w:t>Illustrative examples of projects are provided. This list is not intended to indicate priorities for the ATTF.</w:t>
      </w:r>
    </w:p>
    <w:p w14:paraId="712FB9C2"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Delivery of an agriculture training program for Aboriginal students that has been designed with local Traditional Owner groups and feeds into jobs in local agricultural businesses.</w:t>
      </w:r>
      <w:r w:rsidRPr="008223B9">
        <w:rPr>
          <w:rFonts w:cs="Arial"/>
          <w:color w:val="auto"/>
          <w:sz w:val="22"/>
          <w:szCs w:val="22"/>
        </w:rPr>
        <w:br/>
        <w:t>The program includes a focus on increasing industry recognition of the importance of Aboriginal knowledge and practices to agricultural production.</w:t>
      </w:r>
    </w:p>
    <w:p w14:paraId="4EF62BCE"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Design and deliver curricula for emergent skills needed for the agriculture sector that is delivered in partnership with the agriculture and technology sectors. The training package includes industry mentors and will improve the skills of the agriculture sector and those advising agriculture business on the use of new technologies on farms.</w:t>
      </w:r>
    </w:p>
    <w:p w14:paraId="54FB6011"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Design and implementation of a skillset program for the existing local agriculture workforce that is quality assured accredited training and is based on known skills gaps. This includes establishing a streamlined process for developing future skillsets in partnership with industry, which will enable the training provider to quickly ramp up new training as skills gaps are identified.</w:t>
      </w:r>
    </w:p>
    <w:p w14:paraId="4AA14B09"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With local schools, expand delivery of VET Delivered in Secondary School (VDSS) programs to incorporate more emergent technology and highlight the opportunities for careers in agriculture.</w:t>
      </w:r>
    </w:p>
    <w:p w14:paraId="28C87076"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Develop training that supports the agriculture sector to capture benefits of the circular economy (</w:t>
      </w:r>
      <w:proofErr w:type="gramStart"/>
      <w:r w:rsidRPr="008223B9">
        <w:rPr>
          <w:rFonts w:cs="Arial"/>
          <w:color w:val="auto"/>
          <w:sz w:val="22"/>
          <w:szCs w:val="22"/>
        </w:rPr>
        <w:t>e.g.</w:t>
      </w:r>
      <w:proofErr w:type="gramEnd"/>
      <w:r w:rsidRPr="008223B9">
        <w:rPr>
          <w:rFonts w:cs="Arial"/>
          <w:color w:val="auto"/>
          <w:sz w:val="22"/>
          <w:szCs w:val="22"/>
        </w:rPr>
        <w:t xml:space="preserve"> organic waste recycling, renewable energy). The pilot training is then developed to enable subsequent accreditation with the VRQA.</w:t>
      </w:r>
    </w:p>
    <w:p w14:paraId="2C8F30B1"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Invest in innovative delivery models to ensure that students in remote areas can access training in ways that better meet their needs.</w:t>
      </w:r>
    </w:p>
    <w:p w14:paraId="0C4BB744"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Use emerging markets and products to inform the design of specialist training in targeted areas of small-scale and artisanal agriculture. This includes marketing about the links between the training and career pathways in agriculture.</w:t>
      </w:r>
    </w:p>
    <w:p w14:paraId="4FC271AF"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t>Create and deliver a targeted professional development package for trainers that lifts teaching quality across areas of known gaps such as Aboriginal knowledge and practices in agriculture, emergent technology in agriculture and embedding farm safety messaging across agriculture subjects.</w:t>
      </w:r>
    </w:p>
    <w:p w14:paraId="71903970" w14:textId="77777777" w:rsidR="008223B9" w:rsidRPr="008223B9" w:rsidRDefault="008223B9" w:rsidP="008223B9">
      <w:pPr>
        <w:pStyle w:val="ListParagraph"/>
        <w:numPr>
          <w:ilvl w:val="0"/>
          <w:numId w:val="3"/>
        </w:numPr>
        <w:rPr>
          <w:rFonts w:cs="Arial"/>
          <w:color w:val="auto"/>
          <w:sz w:val="22"/>
          <w:szCs w:val="22"/>
        </w:rPr>
      </w:pPr>
      <w:r w:rsidRPr="008223B9">
        <w:rPr>
          <w:rFonts w:cs="Arial"/>
          <w:color w:val="auto"/>
          <w:sz w:val="22"/>
          <w:szCs w:val="22"/>
        </w:rPr>
        <w:lastRenderedPageBreak/>
        <w:t>Develop a partnership with the local agricultural industry and multicultural groups to design and deliver the training needed to encourage more Culturally and Linguistically Diverse (CALD) communities into agricultural careers.</w:t>
      </w:r>
    </w:p>
    <w:p w14:paraId="30555B03" w14:textId="6678BA2A" w:rsidR="008223B9" w:rsidRPr="008223B9" w:rsidRDefault="008223B9" w:rsidP="008223B9">
      <w:pPr>
        <w:pStyle w:val="Heading1"/>
        <w:rPr>
          <w:rFonts w:ascii="Arial" w:hAnsi="Arial" w:cs="Arial"/>
          <w:color w:val="auto"/>
        </w:rPr>
      </w:pPr>
      <w:bookmarkStart w:id="19" w:name="_Toc113549367"/>
      <w:r>
        <w:rPr>
          <w:rFonts w:ascii="Arial" w:hAnsi="Arial" w:cs="Arial"/>
          <w:color w:val="auto"/>
        </w:rPr>
        <w:t>5</w:t>
      </w:r>
      <w:r>
        <w:rPr>
          <w:rFonts w:ascii="Arial" w:hAnsi="Arial" w:cs="Arial"/>
          <w:color w:val="auto"/>
        </w:rPr>
        <w:tab/>
      </w:r>
      <w:r w:rsidRPr="008223B9">
        <w:rPr>
          <w:rFonts w:ascii="Arial" w:hAnsi="Arial" w:cs="Arial"/>
          <w:color w:val="auto"/>
        </w:rPr>
        <w:t>Assessment Process</w:t>
      </w:r>
      <w:bookmarkEnd w:id="19"/>
    </w:p>
    <w:p w14:paraId="55915975" w14:textId="6C62FC65" w:rsidR="008223B9" w:rsidRPr="008223B9" w:rsidRDefault="008223B9" w:rsidP="008223B9">
      <w:pPr>
        <w:pStyle w:val="Heading2"/>
        <w:rPr>
          <w:rFonts w:ascii="Arial" w:hAnsi="Arial" w:cs="Arial"/>
          <w:color w:val="auto"/>
        </w:rPr>
      </w:pPr>
      <w:bookmarkStart w:id="20" w:name="_Toc113549368"/>
      <w:r>
        <w:rPr>
          <w:rFonts w:ascii="Arial" w:hAnsi="Arial" w:cs="Arial"/>
          <w:color w:val="auto"/>
        </w:rPr>
        <w:t>5.1</w:t>
      </w:r>
      <w:r>
        <w:rPr>
          <w:rFonts w:ascii="Arial" w:hAnsi="Arial" w:cs="Arial"/>
          <w:color w:val="auto"/>
        </w:rPr>
        <w:tab/>
      </w:r>
      <w:r w:rsidRPr="008223B9">
        <w:rPr>
          <w:rFonts w:ascii="Arial" w:hAnsi="Arial" w:cs="Arial"/>
          <w:color w:val="auto"/>
        </w:rPr>
        <w:t>Assessment Criteria</w:t>
      </w:r>
      <w:bookmarkEnd w:id="20"/>
    </w:p>
    <w:p w14:paraId="4421AF67" w14:textId="77777777" w:rsidR="008223B9" w:rsidRPr="008223B9" w:rsidRDefault="008223B9" w:rsidP="008223B9">
      <w:pPr>
        <w:rPr>
          <w:rFonts w:ascii="Arial" w:hAnsi="Arial" w:cs="Arial"/>
        </w:rPr>
      </w:pPr>
      <w:r w:rsidRPr="008223B9">
        <w:rPr>
          <w:rFonts w:ascii="Arial" w:hAnsi="Arial" w:cs="Arial"/>
        </w:rPr>
        <w:t>Upon receipt of an application, an eligibility assessment will be completed to ensure the application is eligible to be considered for funding.</w:t>
      </w:r>
    </w:p>
    <w:p w14:paraId="5B52CA59" w14:textId="77777777" w:rsidR="008223B9" w:rsidRPr="008223B9" w:rsidRDefault="008223B9" w:rsidP="008223B9">
      <w:pPr>
        <w:rPr>
          <w:rFonts w:ascii="Arial" w:hAnsi="Arial" w:cs="Arial"/>
        </w:rPr>
      </w:pPr>
      <w:r w:rsidRPr="008223B9">
        <w:rPr>
          <w:rFonts w:ascii="Arial" w:hAnsi="Arial" w:cs="Arial"/>
        </w:rPr>
        <w:t>Eligible applications will then be competitively assessed on how well they meet the assessment criteria below. All supplementary attachments and information provided as part of the application will be taken into consideration during the assessment process.</w:t>
      </w:r>
    </w:p>
    <w:p w14:paraId="1229A08F" w14:textId="77777777" w:rsidR="008223B9" w:rsidRPr="008223B9" w:rsidRDefault="008223B9" w:rsidP="008223B9">
      <w:pPr>
        <w:rPr>
          <w:rFonts w:ascii="Arial" w:hAnsi="Arial" w:cs="Arial"/>
        </w:rPr>
      </w:pPr>
      <w:r w:rsidRPr="008223B9">
        <w:rPr>
          <w:rFonts w:ascii="Arial" w:hAnsi="Arial" w:cs="Arial"/>
        </w:rPr>
        <w:t>The ATTF Assessment Panel will review all eligible applications. The Assessment Panel is made up of departmental representatives from the Department of Jobs, Precincts and Regions and the Department of Education and Training. The assessment and approval process can take up to 16 weeks from the date the application process closes.</w:t>
      </w:r>
    </w:p>
    <w:p w14:paraId="62015AD3" w14:textId="77777777" w:rsidR="008223B9" w:rsidRPr="008223B9" w:rsidRDefault="008223B9" w:rsidP="008223B9">
      <w:pPr>
        <w:rPr>
          <w:rFonts w:ascii="Arial" w:hAnsi="Arial" w:cs="Arial"/>
        </w:rPr>
      </w:pPr>
      <w:r w:rsidRPr="008223B9">
        <w:rPr>
          <w:rFonts w:ascii="Arial" w:hAnsi="Arial" w:cs="Arial"/>
        </w:rPr>
        <w:t>For an application to be recommended for funding, it must score highly against each criterion. Applications that score highly will then be assessed to ensure a spread of projects across regions and industry needs.</w:t>
      </w:r>
    </w:p>
    <w:p w14:paraId="6906386D" w14:textId="77777777" w:rsidR="008223B9" w:rsidRPr="008223B9" w:rsidRDefault="008223B9" w:rsidP="008223B9">
      <w:pPr>
        <w:rPr>
          <w:rFonts w:ascii="Arial" w:hAnsi="Arial" w:cs="Arial"/>
        </w:rPr>
      </w:pPr>
      <w:r w:rsidRPr="008223B9">
        <w:rPr>
          <w:rFonts w:ascii="Arial" w:hAnsi="Arial" w:cs="Arial"/>
        </w:rPr>
        <w:t>The Assessment Panel will make recommendations to the Ministers for Agriculture, Training and Skills, and Higher Education, with the final approval on provision of the grant and quantum of funding determined by the Ministers.</w:t>
      </w:r>
    </w:p>
    <w:p w14:paraId="2EAF9D64" w14:textId="77777777" w:rsidR="008223B9" w:rsidRPr="008223B9" w:rsidRDefault="008223B9" w:rsidP="008223B9">
      <w:pPr>
        <w:rPr>
          <w:rFonts w:ascii="Arial" w:hAnsi="Arial" w:cs="Arial"/>
        </w:rPr>
      </w:pPr>
      <w:r w:rsidRPr="008223B9">
        <w:rPr>
          <w:rFonts w:ascii="Arial" w:hAnsi="Arial" w:cs="Arial"/>
        </w:rPr>
        <w:t>The Department makes no representation that a grant will be made to any applicant and reserves the right to make no grants available under the Program.</w:t>
      </w:r>
    </w:p>
    <w:tbl>
      <w:tblPr>
        <w:tblStyle w:val="TableGrid"/>
        <w:tblW w:w="4994" w:type="pct"/>
        <w:tblLook w:val="04A0" w:firstRow="1" w:lastRow="0" w:firstColumn="1" w:lastColumn="0" w:noHBand="0" w:noVBand="1"/>
      </w:tblPr>
      <w:tblGrid>
        <w:gridCol w:w="7613"/>
        <w:gridCol w:w="1392"/>
      </w:tblGrid>
      <w:tr w:rsidR="008223B9" w:rsidRPr="008223B9" w14:paraId="09122C34" w14:textId="77777777" w:rsidTr="007D5EBF">
        <w:tc>
          <w:tcPr>
            <w:tcW w:w="4227" w:type="pct"/>
            <w:shd w:val="clear" w:color="auto" w:fill="auto"/>
          </w:tcPr>
          <w:p w14:paraId="2235DF78" w14:textId="77777777" w:rsidR="008223B9" w:rsidRPr="008223B9" w:rsidRDefault="008223B9" w:rsidP="007D5EBF">
            <w:pPr>
              <w:pStyle w:val="Tabletitle"/>
              <w:rPr>
                <w:rStyle w:val="Strong"/>
                <w:rFonts w:cs="Arial"/>
                <w:color w:val="auto"/>
              </w:rPr>
            </w:pPr>
            <w:r w:rsidRPr="008223B9">
              <w:rPr>
                <w:rStyle w:val="Strong"/>
                <w:rFonts w:cs="Arial"/>
                <w:color w:val="auto"/>
              </w:rPr>
              <w:t>Assessment Criteria</w:t>
            </w:r>
          </w:p>
        </w:tc>
        <w:tc>
          <w:tcPr>
            <w:tcW w:w="773" w:type="pct"/>
            <w:shd w:val="clear" w:color="auto" w:fill="auto"/>
          </w:tcPr>
          <w:p w14:paraId="07CAC5C8" w14:textId="77777777" w:rsidR="008223B9" w:rsidRPr="008223B9" w:rsidRDefault="008223B9" w:rsidP="007D5EBF">
            <w:pPr>
              <w:pStyle w:val="Tabletitle"/>
              <w:rPr>
                <w:rStyle w:val="Strong"/>
                <w:rFonts w:cs="Arial"/>
                <w:color w:val="auto"/>
              </w:rPr>
            </w:pPr>
            <w:r w:rsidRPr="008223B9">
              <w:rPr>
                <w:rStyle w:val="Strong"/>
                <w:rFonts w:cs="Arial"/>
                <w:color w:val="auto"/>
              </w:rPr>
              <w:t>Weighting</w:t>
            </w:r>
          </w:p>
        </w:tc>
      </w:tr>
      <w:tr w:rsidR="008223B9" w:rsidRPr="008223B9" w14:paraId="62E9E85E" w14:textId="77777777" w:rsidTr="007D5EBF">
        <w:tc>
          <w:tcPr>
            <w:tcW w:w="4227" w:type="pct"/>
          </w:tcPr>
          <w:p w14:paraId="19367041" w14:textId="77777777" w:rsidR="008223B9" w:rsidRPr="008223B9" w:rsidRDefault="008223B9" w:rsidP="007D5EBF">
            <w:pPr>
              <w:pStyle w:val="Tabletitle"/>
              <w:rPr>
                <w:rStyle w:val="Strong"/>
                <w:rFonts w:cs="Arial"/>
                <w:color w:val="auto"/>
              </w:rPr>
            </w:pPr>
            <w:r w:rsidRPr="008223B9">
              <w:rPr>
                <w:rStyle w:val="Strong"/>
                <w:rFonts w:cs="Arial"/>
                <w:color w:val="auto"/>
              </w:rPr>
              <w:t>How will the project provide the right training to ensure the agriculture industry has the skilled workforce needed over the next five to 10 years? This criterion will consider:</w:t>
            </w:r>
          </w:p>
          <w:p w14:paraId="587D2B47" w14:textId="77777777" w:rsidR="008223B9" w:rsidRPr="008223B9" w:rsidRDefault="008223B9" w:rsidP="008223B9">
            <w:pPr>
              <w:pStyle w:val="Tabletitle"/>
              <w:numPr>
                <w:ilvl w:val="0"/>
                <w:numId w:val="5"/>
              </w:numPr>
              <w:rPr>
                <w:rStyle w:val="Strong"/>
                <w:rFonts w:cs="Arial"/>
                <w:b w:val="0"/>
                <w:bCs w:val="0"/>
                <w:color w:val="auto"/>
              </w:rPr>
            </w:pPr>
            <w:r w:rsidRPr="008223B9">
              <w:rPr>
                <w:rStyle w:val="Strong"/>
                <w:rFonts w:cs="Arial"/>
                <w:b w:val="0"/>
                <w:bCs w:val="0"/>
                <w:color w:val="auto"/>
              </w:rPr>
              <w:t>How the project will address student and industry needs</w:t>
            </w:r>
          </w:p>
          <w:p w14:paraId="54F22F70" w14:textId="77777777" w:rsidR="008223B9" w:rsidRPr="008223B9" w:rsidRDefault="008223B9" w:rsidP="008223B9">
            <w:pPr>
              <w:pStyle w:val="Tabletitle"/>
              <w:numPr>
                <w:ilvl w:val="0"/>
                <w:numId w:val="5"/>
              </w:numPr>
              <w:rPr>
                <w:rStyle w:val="Strong"/>
                <w:rFonts w:cs="Arial"/>
                <w:b w:val="0"/>
                <w:bCs w:val="0"/>
                <w:color w:val="auto"/>
              </w:rPr>
            </w:pPr>
            <w:r w:rsidRPr="008223B9">
              <w:rPr>
                <w:rStyle w:val="Strong"/>
                <w:rFonts w:cs="Arial"/>
                <w:b w:val="0"/>
                <w:bCs w:val="0"/>
                <w:color w:val="auto"/>
              </w:rPr>
              <w:t xml:space="preserve">The extent to which the project is based on evidence of industry trends, current and future skills </w:t>
            </w:r>
            <w:proofErr w:type="gramStart"/>
            <w:r w:rsidRPr="008223B9">
              <w:rPr>
                <w:rStyle w:val="Strong"/>
                <w:rFonts w:cs="Arial"/>
                <w:b w:val="0"/>
                <w:bCs w:val="0"/>
                <w:color w:val="auto"/>
              </w:rPr>
              <w:t>needs</w:t>
            </w:r>
            <w:proofErr w:type="gramEnd"/>
            <w:r w:rsidRPr="008223B9">
              <w:rPr>
                <w:rStyle w:val="Strong"/>
                <w:rFonts w:cs="Arial"/>
                <w:b w:val="0"/>
                <w:bCs w:val="0"/>
                <w:color w:val="auto"/>
              </w:rPr>
              <w:t xml:space="preserve"> (local and state), regional and/or industry priorities (e.g. regional strategies, industry strategies and Regional Partnership priorities)</w:t>
            </w:r>
          </w:p>
          <w:p w14:paraId="6A12C40F" w14:textId="77777777" w:rsidR="008223B9" w:rsidRPr="008223B9" w:rsidRDefault="008223B9" w:rsidP="008223B9">
            <w:pPr>
              <w:pStyle w:val="Tabletitle"/>
              <w:numPr>
                <w:ilvl w:val="0"/>
                <w:numId w:val="5"/>
              </w:numPr>
              <w:rPr>
                <w:rStyle w:val="Strong"/>
                <w:rFonts w:cs="Arial"/>
                <w:b w:val="0"/>
                <w:bCs w:val="0"/>
                <w:color w:val="auto"/>
              </w:rPr>
            </w:pPr>
            <w:r w:rsidRPr="008223B9">
              <w:rPr>
                <w:rStyle w:val="Strong"/>
                <w:rFonts w:cs="Arial"/>
                <w:b w:val="0"/>
                <w:bCs w:val="0"/>
                <w:color w:val="auto"/>
              </w:rPr>
              <w:t>The degree to which any equipment purchased is essential to the delivery of the project</w:t>
            </w:r>
          </w:p>
          <w:p w14:paraId="6CF874A0" w14:textId="77777777" w:rsidR="008223B9" w:rsidRPr="008223B9" w:rsidRDefault="008223B9" w:rsidP="008223B9">
            <w:pPr>
              <w:pStyle w:val="Tabletitle"/>
              <w:numPr>
                <w:ilvl w:val="0"/>
                <w:numId w:val="5"/>
              </w:numPr>
              <w:rPr>
                <w:rStyle w:val="Strong"/>
                <w:rFonts w:cs="Arial"/>
                <w:b w:val="0"/>
                <w:bCs w:val="0"/>
                <w:color w:val="auto"/>
              </w:rPr>
            </w:pPr>
            <w:r w:rsidRPr="008223B9">
              <w:rPr>
                <w:rStyle w:val="Strong"/>
                <w:rFonts w:cs="Arial"/>
                <w:b w:val="0"/>
                <w:bCs w:val="0"/>
                <w:color w:val="auto"/>
              </w:rPr>
              <w:t>Farm safety is incorporated into any agricultural training delivered, where appropriate</w:t>
            </w:r>
          </w:p>
          <w:p w14:paraId="129EFDA9" w14:textId="77777777" w:rsidR="008223B9" w:rsidRPr="008223B9" w:rsidRDefault="008223B9" w:rsidP="008223B9">
            <w:pPr>
              <w:pStyle w:val="Tabletitle"/>
              <w:numPr>
                <w:ilvl w:val="0"/>
                <w:numId w:val="5"/>
              </w:numPr>
              <w:rPr>
                <w:rStyle w:val="Strong"/>
                <w:rFonts w:cs="Arial"/>
                <w:color w:val="auto"/>
              </w:rPr>
            </w:pPr>
            <w:r w:rsidRPr="008223B9">
              <w:rPr>
                <w:rStyle w:val="Strong"/>
                <w:rFonts w:cs="Arial"/>
                <w:b w:val="0"/>
                <w:bCs w:val="0"/>
                <w:color w:val="auto"/>
              </w:rPr>
              <w:t>The use of innovative approaches to training delivery that align with student and industry expectations</w:t>
            </w:r>
          </w:p>
        </w:tc>
        <w:tc>
          <w:tcPr>
            <w:tcW w:w="773" w:type="pct"/>
          </w:tcPr>
          <w:p w14:paraId="787606A5" w14:textId="77777777" w:rsidR="008223B9" w:rsidRPr="008223B9" w:rsidRDefault="008223B9" w:rsidP="007D5EBF">
            <w:pPr>
              <w:pStyle w:val="Tabletitle"/>
              <w:rPr>
                <w:rStyle w:val="Strong"/>
                <w:rFonts w:cs="Arial"/>
                <w:color w:val="auto"/>
              </w:rPr>
            </w:pPr>
            <w:r w:rsidRPr="008223B9">
              <w:rPr>
                <w:rStyle w:val="Strong"/>
                <w:rFonts w:cs="Arial"/>
                <w:color w:val="auto"/>
              </w:rPr>
              <w:t>35 per cent</w:t>
            </w:r>
          </w:p>
        </w:tc>
      </w:tr>
      <w:tr w:rsidR="008223B9" w:rsidRPr="008223B9" w14:paraId="7A8C8A22" w14:textId="77777777" w:rsidTr="007D5EBF">
        <w:tc>
          <w:tcPr>
            <w:tcW w:w="4227" w:type="pct"/>
          </w:tcPr>
          <w:p w14:paraId="428444E0" w14:textId="77777777" w:rsidR="008223B9" w:rsidRPr="008223B9" w:rsidRDefault="008223B9" w:rsidP="007D5EBF">
            <w:pPr>
              <w:pStyle w:val="Tabletitle"/>
              <w:rPr>
                <w:rStyle w:val="Strong"/>
                <w:rFonts w:cs="Arial"/>
                <w:color w:val="auto"/>
              </w:rPr>
            </w:pPr>
            <w:r w:rsidRPr="008223B9">
              <w:rPr>
                <w:rStyle w:val="Strong"/>
                <w:rFonts w:cs="Arial"/>
                <w:color w:val="auto"/>
              </w:rPr>
              <w:t>How will the project improve connections within the skills development pipeline from schools through vocational education and training, into higher education and ongoing skills development in the workplace? This criterion will consider:</w:t>
            </w:r>
          </w:p>
          <w:p w14:paraId="67532056" w14:textId="77777777" w:rsidR="008223B9" w:rsidRPr="008223B9" w:rsidRDefault="008223B9" w:rsidP="008223B9">
            <w:pPr>
              <w:pStyle w:val="Tabletitle"/>
              <w:numPr>
                <w:ilvl w:val="0"/>
                <w:numId w:val="3"/>
              </w:numPr>
              <w:rPr>
                <w:rStyle w:val="Strong"/>
                <w:rFonts w:cs="Arial"/>
                <w:b w:val="0"/>
                <w:bCs w:val="0"/>
                <w:color w:val="auto"/>
              </w:rPr>
            </w:pPr>
            <w:r w:rsidRPr="008223B9">
              <w:rPr>
                <w:rStyle w:val="Strong"/>
                <w:rFonts w:cs="Arial"/>
                <w:b w:val="0"/>
                <w:bCs w:val="0"/>
                <w:color w:val="auto"/>
              </w:rPr>
              <w:t>The quality of the evidence of established relationships with industry and others in the broader skills development pipeline, connections with schools, other training organisations and industry (</w:t>
            </w:r>
            <w:proofErr w:type="gramStart"/>
            <w:r w:rsidRPr="008223B9">
              <w:rPr>
                <w:rStyle w:val="Strong"/>
                <w:rFonts w:cs="Arial"/>
                <w:b w:val="0"/>
                <w:bCs w:val="0"/>
                <w:color w:val="auto"/>
              </w:rPr>
              <w:t>e.g.</w:t>
            </w:r>
            <w:proofErr w:type="gramEnd"/>
            <w:r w:rsidRPr="008223B9">
              <w:rPr>
                <w:rStyle w:val="Strong"/>
                <w:rFonts w:cs="Arial"/>
                <w:b w:val="0"/>
                <w:bCs w:val="0"/>
                <w:color w:val="auto"/>
              </w:rPr>
              <w:t xml:space="preserve"> letters of support from businesses and others demonstrating that the project is a genuine priority and point of collaboration)</w:t>
            </w:r>
          </w:p>
          <w:p w14:paraId="7B0C70B6" w14:textId="77777777" w:rsidR="008223B9" w:rsidRPr="008223B9" w:rsidRDefault="008223B9" w:rsidP="008223B9">
            <w:pPr>
              <w:pStyle w:val="Tabletitle"/>
              <w:numPr>
                <w:ilvl w:val="0"/>
                <w:numId w:val="3"/>
              </w:numPr>
              <w:rPr>
                <w:rStyle w:val="Strong"/>
                <w:rFonts w:cs="Arial"/>
                <w:b w:val="0"/>
                <w:bCs w:val="0"/>
                <w:color w:val="auto"/>
              </w:rPr>
            </w:pPr>
            <w:r w:rsidRPr="008223B9">
              <w:rPr>
                <w:rStyle w:val="Strong"/>
                <w:rFonts w:cs="Arial"/>
                <w:b w:val="0"/>
                <w:bCs w:val="0"/>
                <w:color w:val="auto"/>
              </w:rPr>
              <w:t>How the proposed connections will lead to improved delivery of the project and improved outcomes for learners and industry</w:t>
            </w:r>
          </w:p>
          <w:p w14:paraId="274CDE6B" w14:textId="77777777" w:rsidR="008223B9" w:rsidRPr="008223B9" w:rsidRDefault="008223B9" w:rsidP="008223B9">
            <w:pPr>
              <w:pStyle w:val="Tabletitle"/>
              <w:numPr>
                <w:ilvl w:val="0"/>
                <w:numId w:val="6"/>
              </w:numPr>
              <w:rPr>
                <w:rStyle w:val="Strong"/>
                <w:rFonts w:cs="Arial"/>
                <w:color w:val="auto"/>
              </w:rPr>
            </w:pPr>
            <w:r w:rsidRPr="008223B9">
              <w:rPr>
                <w:rStyle w:val="Strong"/>
                <w:rFonts w:cs="Arial"/>
                <w:b w:val="0"/>
                <w:bCs w:val="0"/>
                <w:color w:val="auto"/>
              </w:rPr>
              <w:t>How the improved connections developed in the project will be used to achieve broader community benefits (</w:t>
            </w:r>
            <w:proofErr w:type="gramStart"/>
            <w:r w:rsidRPr="008223B9">
              <w:rPr>
                <w:rStyle w:val="Strong"/>
                <w:rFonts w:cs="Arial"/>
                <w:b w:val="0"/>
                <w:bCs w:val="0"/>
                <w:color w:val="auto"/>
              </w:rPr>
              <w:t>e.g.</w:t>
            </w:r>
            <w:proofErr w:type="gramEnd"/>
            <w:r w:rsidRPr="008223B9">
              <w:rPr>
                <w:rStyle w:val="Strong"/>
                <w:rFonts w:cs="Arial"/>
                <w:b w:val="0"/>
                <w:bCs w:val="0"/>
                <w:color w:val="auto"/>
              </w:rPr>
              <w:t xml:space="preserve"> other collaborations)</w:t>
            </w:r>
          </w:p>
        </w:tc>
        <w:tc>
          <w:tcPr>
            <w:tcW w:w="773" w:type="pct"/>
          </w:tcPr>
          <w:p w14:paraId="4AFD82B7" w14:textId="77777777" w:rsidR="008223B9" w:rsidRPr="008223B9" w:rsidRDefault="008223B9" w:rsidP="007D5EBF">
            <w:pPr>
              <w:pStyle w:val="Tabletitle"/>
              <w:rPr>
                <w:rStyle w:val="Strong"/>
                <w:rFonts w:cs="Arial"/>
                <w:color w:val="auto"/>
              </w:rPr>
            </w:pPr>
            <w:r w:rsidRPr="008223B9">
              <w:rPr>
                <w:rStyle w:val="Strong"/>
                <w:rFonts w:cs="Arial"/>
                <w:color w:val="auto"/>
              </w:rPr>
              <w:t>25 per cent</w:t>
            </w:r>
          </w:p>
        </w:tc>
      </w:tr>
      <w:tr w:rsidR="008223B9" w:rsidRPr="008223B9" w14:paraId="074DEFC2" w14:textId="77777777" w:rsidTr="007D5EBF">
        <w:tc>
          <w:tcPr>
            <w:tcW w:w="4227" w:type="pct"/>
          </w:tcPr>
          <w:p w14:paraId="7C9C2A84" w14:textId="77777777" w:rsidR="008223B9" w:rsidRPr="008223B9" w:rsidRDefault="008223B9" w:rsidP="007D5EBF">
            <w:pPr>
              <w:pStyle w:val="Tabletitle"/>
              <w:rPr>
                <w:rStyle w:val="Strong"/>
                <w:rFonts w:cs="Arial"/>
                <w:color w:val="auto"/>
              </w:rPr>
            </w:pPr>
            <w:r w:rsidRPr="008223B9">
              <w:rPr>
                <w:rStyle w:val="Strong"/>
                <w:rFonts w:cs="Arial"/>
                <w:color w:val="auto"/>
              </w:rPr>
              <w:t>How will the project deliver to targeted groups? This criterion will consider:</w:t>
            </w:r>
          </w:p>
          <w:p w14:paraId="0E180703" w14:textId="77777777" w:rsidR="008223B9" w:rsidRPr="008223B9" w:rsidRDefault="008223B9" w:rsidP="008223B9">
            <w:pPr>
              <w:pStyle w:val="Tabletitle"/>
              <w:numPr>
                <w:ilvl w:val="0"/>
                <w:numId w:val="6"/>
              </w:numPr>
              <w:rPr>
                <w:rStyle w:val="Strong"/>
                <w:rFonts w:cs="Arial"/>
                <w:b w:val="0"/>
                <w:bCs w:val="0"/>
                <w:color w:val="auto"/>
              </w:rPr>
            </w:pPr>
            <w:r w:rsidRPr="008223B9">
              <w:rPr>
                <w:rStyle w:val="Strong"/>
                <w:rFonts w:cs="Arial"/>
                <w:b w:val="0"/>
                <w:bCs w:val="0"/>
                <w:color w:val="auto"/>
              </w:rPr>
              <w:lastRenderedPageBreak/>
              <w:t>The extent to which the project will improve access or engagement with agriculture training for CALD communities, remote people, long-term unemployed, women, people living with disabilities and those individuals not currently catered for. Including evidence of the need for targeted approach</w:t>
            </w:r>
          </w:p>
          <w:p w14:paraId="4AD1B7B6" w14:textId="77777777" w:rsidR="008223B9" w:rsidRPr="008223B9" w:rsidRDefault="008223B9" w:rsidP="008223B9">
            <w:pPr>
              <w:pStyle w:val="Tabletitle"/>
              <w:numPr>
                <w:ilvl w:val="0"/>
                <w:numId w:val="6"/>
              </w:numPr>
              <w:rPr>
                <w:rStyle w:val="Strong"/>
                <w:rFonts w:cs="Arial"/>
                <w:color w:val="auto"/>
              </w:rPr>
            </w:pPr>
            <w:r w:rsidRPr="008223B9">
              <w:rPr>
                <w:rStyle w:val="Strong"/>
                <w:rFonts w:cs="Arial"/>
                <w:b w:val="0"/>
                <w:bCs w:val="0"/>
                <w:color w:val="auto"/>
              </w:rPr>
              <w:t>The extent to which Aboriginal knowledge and practices are incorporated in the training and how the project involves and attracts more Aboriginal and Torres Strait Islander people</w:t>
            </w:r>
          </w:p>
        </w:tc>
        <w:tc>
          <w:tcPr>
            <w:tcW w:w="773" w:type="pct"/>
          </w:tcPr>
          <w:p w14:paraId="6A818EBE" w14:textId="77777777" w:rsidR="008223B9" w:rsidRPr="008223B9" w:rsidRDefault="008223B9" w:rsidP="007D5EBF">
            <w:pPr>
              <w:pStyle w:val="Tabletitle"/>
              <w:rPr>
                <w:rStyle w:val="Strong"/>
                <w:rFonts w:cs="Arial"/>
                <w:color w:val="auto"/>
              </w:rPr>
            </w:pPr>
            <w:r w:rsidRPr="008223B9">
              <w:rPr>
                <w:rStyle w:val="Strong"/>
                <w:rFonts w:cs="Arial"/>
                <w:color w:val="auto"/>
              </w:rPr>
              <w:lastRenderedPageBreak/>
              <w:t>15 per cent</w:t>
            </w:r>
          </w:p>
        </w:tc>
      </w:tr>
      <w:tr w:rsidR="008223B9" w:rsidRPr="008223B9" w14:paraId="4B529F76" w14:textId="77777777" w:rsidTr="007D5EBF">
        <w:tc>
          <w:tcPr>
            <w:tcW w:w="4227" w:type="pct"/>
          </w:tcPr>
          <w:p w14:paraId="53F3AC0F" w14:textId="77777777" w:rsidR="008223B9" w:rsidRPr="008223B9" w:rsidRDefault="008223B9" w:rsidP="007D5EBF">
            <w:pPr>
              <w:pStyle w:val="Tabletitle"/>
              <w:rPr>
                <w:rStyle w:val="Strong"/>
                <w:rFonts w:cs="Arial"/>
                <w:color w:val="auto"/>
              </w:rPr>
            </w:pPr>
            <w:r w:rsidRPr="008223B9">
              <w:rPr>
                <w:rStyle w:val="Strong"/>
                <w:rFonts w:cs="Arial"/>
                <w:color w:val="auto"/>
              </w:rPr>
              <w:t>Demonstrate your capacity and capability to successfully implement the project. This criterion will consider:</w:t>
            </w:r>
          </w:p>
          <w:p w14:paraId="461C9956" w14:textId="77777777" w:rsidR="008223B9" w:rsidRPr="008223B9" w:rsidRDefault="008223B9" w:rsidP="008223B9">
            <w:pPr>
              <w:pStyle w:val="Tabletitle"/>
              <w:numPr>
                <w:ilvl w:val="0"/>
                <w:numId w:val="7"/>
              </w:numPr>
              <w:rPr>
                <w:rStyle w:val="Strong"/>
                <w:rFonts w:cs="Arial"/>
                <w:b w:val="0"/>
                <w:bCs w:val="0"/>
                <w:color w:val="auto"/>
              </w:rPr>
            </w:pPr>
            <w:r w:rsidRPr="008223B9">
              <w:rPr>
                <w:rStyle w:val="Strong"/>
                <w:rFonts w:cs="Arial"/>
                <w:b w:val="0"/>
                <w:bCs w:val="0"/>
                <w:color w:val="auto"/>
              </w:rPr>
              <w:t>The quality of the implementation planning as outlined in the Project Plan, including budget, timing, governance, risk management, communications and marketing, evaluation and how the project can be scaled according to the funding available</w:t>
            </w:r>
          </w:p>
          <w:p w14:paraId="52334292" w14:textId="77777777" w:rsidR="008223B9" w:rsidRPr="008223B9" w:rsidRDefault="008223B9" w:rsidP="008223B9">
            <w:pPr>
              <w:pStyle w:val="Tabletitle"/>
              <w:numPr>
                <w:ilvl w:val="0"/>
                <w:numId w:val="7"/>
              </w:numPr>
              <w:rPr>
                <w:rStyle w:val="Strong"/>
                <w:rFonts w:cs="Arial"/>
                <w:b w:val="0"/>
                <w:bCs w:val="0"/>
                <w:color w:val="auto"/>
              </w:rPr>
            </w:pPr>
            <w:r w:rsidRPr="008223B9">
              <w:rPr>
                <w:rStyle w:val="Strong"/>
                <w:rFonts w:cs="Arial"/>
                <w:b w:val="0"/>
                <w:bCs w:val="0"/>
                <w:color w:val="auto"/>
              </w:rPr>
              <w:t>Evidence that the applicant has the capability to implement the project (</w:t>
            </w:r>
            <w:proofErr w:type="gramStart"/>
            <w:r w:rsidRPr="008223B9">
              <w:rPr>
                <w:rStyle w:val="Strong"/>
                <w:rFonts w:cs="Arial"/>
                <w:b w:val="0"/>
                <w:bCs w:val="0"/>
                <w:color w:val="auto"/>
              </w:rPr>
              <w:t>e.g.</w:t>
            </w:r>
            <w:proofErr w:type="gramEnd"/>
            <w:r w:rsidRPr="008223B9">
              <w:rPr>
                <w:rStyle w:val="Strong"/>
                <w:rFonts w:cs="Arial"/>
                <w:b w:val="0"/>
                <w:bCs w:val="0"/>
                <w:color w:val="auto"/>
              </w:rPr>
              <w:t xml:space="preserve"> record of success in implementing similar projects in Victoria, record of delivering agriculture programs, allocation of resources and project management)</w:t>
            </w:r>
          </w:p>
          <w:p w14:paraId="138DBC13" w14:textId="77777777" w:rsidR="008223B9" w:rsidRPr="008223B9" w:rsidRDefault="008223B9" w:rsidP="008223B9">
            <w:pPr>
              <w:pStyle w:val="Tabletitle"/>
              <w:numPr>
                <w:ilvl w:val="0"/>
                <w:numId w:val="3"/>
              </w:numPr>
              <w:rPr>
                <w:rStyle w:val="Strong"/>
                <w:rFonts w:cs="Arial"/>
                <w:b w:val="0"/>
                <w:bCs w:val="0"/>
                <w:color w:val="auto"/>
              </w:rPr>
            </w:pPr>
            <w:r w:rsidRPr="008223B9">
              <w:rPr>
                <w:rStyle w:val="Strong"/>
                <w:rFonts w:cs="Arial"/>
                <w:b w:val="0"/>
                <w:bCs w:val="0"/>
                <w:color w:val="auto"/>
              </w:rPr>
              <w:t>The in-kind, additional leveraged funding and cash contributions in the proposal to enhance the project value</w:t>
            </w:r>
          </w:p>
          <w:p w14:paraId="3F74E0FF" w14:textId="77777777" w:rsidR="008223B9" w:rsidRPr="008223B9" w:rsidRDefault="008223B9" w:rsidP="008223B9">
            <w:pPr>
              <w:pStyle w:val="Tabletitle"/>
              <w:numPr>
                <w:ilvl w:val="0"/>
                <w:numId w:val="3"/>
              </w:numPr>
              <w:rPr>
                <w:rStyle w:val="Strong"/>
                <w:rFonts w:cs="Arial"/>
                <w:color w:val="auto"/>
              </w:rPr>
            </w:pPr>
            <w:r w:rsidRPr="008223B9">
              <w:rPr>
                <w:rStyle w:val="Strong"/>
                <w:rFonts w:cs="Arial"/>
                <w:b w:val="0"/>
                <w:bCs w:val="0"/>
                <w:color w:val="auto"/>
              </w:rPr>
              <w:t>The articulation of a project’s legacy plan, including how ongoing and future costs associated with the project will be managed and how project benefits will be sustained once funding ceases</w:t>
            </w:r>
          </w:p>
        </w:tc>
        <w:tc>
          <w:tcPr>
            <w:tcW w:w="773" w:type="pct"/>
          </w:tcPr>
          <w:p w14:paraId="01E8640B" w14:textId="77777777" w:rsidR="008223B9" w:rsidRPr="008223B9" w:rsidRDefault="008223B9" w:rsidP="007D5EBF">
            <w:pPr>
              <w:pStyle w:val="Tabletitle"/>
              <w:rPr>
                <w:rStyle w:val="Strong"/>
                <w:rFonts w:cs="Arial"/>
                <w:color w:val="auto"/>
              </w:rPr>
            </w:pPr>
            <w:r w:rsidRPr="008223B9">
              <w:rPr>
                <w:rStyle w:val="Strong"/>
                <w:rFonts w:cs="Arial"/>
                <w:color w:val="auto"/>
              </w:rPr>
              <w:t>25 per cent</w:t>
            </w:r>
          </w:p>
        </w:tc>
      </w:tr>
      <w:tr w:rsidR="008223B9" w:rsidRPr="008223B9" w14:paraId="27C00958" w14:textId="77777777" w:rsidTr="007D5EBF">
        <w:tc>
          <w:tcPr>
            <w:tcW w:w="4227" w:type="pct"/>
            <w:shd w:val="clear" w:color="auto" w:fill="auto"/>
          </w:tcPr>
          <w:p w14:paraId="3BBC44D1" w14:textId="77777777" w:rsidR="008223B9" w:rsidRPr="008223B9" w:rsidRDefault="008223B9" w:rsidP="007D5EBF">
            <w:pPr>
              <w:pStyle w:val="Tabletitle"/>
              <w:jc w:val="right"/>
              <w:rPr>
                <w:rStyle w:val="Strong"/>
                <w:rFonts w:cs="Arial"/>
                <w:color w:val="auto"/>
              </w:rPr>
            </w:pPr>
            <w:r w:rsidRPr="008223B9">
              <w:rPr>
                <w:rStyle w:val="Strong"/>
                <w:rFonts w:cs="Arial"/>
                <w:color w:val="auto"/>
              </w:rPr>
              <w:t>Total</w:t>
            </w:r>
          </w:p>
        </w:tc>
        <w:tc>
          <w:tcPr>
            <w:tcW w:w="773" w:type="pct"/>
            <w:shd w:val="clear" w:color="auto" w:fill="auto"/>
          </w:tcPr>
          <w:p w14:paraId="40A8D354" w14:textId="77777777" w:rsidR="008223B9" w:rsidRPr="008223B9" w:rsidRDefault="008223B9" w:rsidP="007D5EBF">
            <w:pPr>
              <w:pStyle w:val="Tabletitle"/>
              <w:rPr>
                <w:rStyle w:val="Strong"/>
                <w:rFonts w:cs="Arial"/>
                <w:color w:val="auto"/>
              </w:rPr>
            </w:pPr>
            <w:r w:rsidRPr="008223B9">
              <w:rPr>
                <w:rStyle w:val="Strong"/>
                <w:rFonts w:cs="Arial"/>
                <w:color w:val="auto"/>
              </w:rPr>
              <w:t>100 per cent</w:t>
            </w:r>
          </w:p>
        </w:tc>
      </w:tr>
    </w:tbl>
    <w:p w14:paraId="0D3347EB" w14:textId="62DC9D32" w:rsidR="008223B9" w:rsidRPr="008223B9" w:rsidRDefault="008223B9" w:rsidP="008223B9">
      <w:pPr>
        <w:pStyle w:val="Heading2"/>
        <w:rPr>
          <w:rFonts w:ascii="Arial" w:hAnsi="Arial" w:cs="Arial"/>
          <w:color w:val="auto"/>
        </w:rPr>
      </w:pPr>
      <w:bookmarkStart w:id="21" w:name="_Toc113549369"/>
      <w:r>
        <w:rPr>
          <w:rFonts w:ascii="Arial" w:hAnsi="Arial" w:cs="Arial"/>
          <w:color w:val="auto"/>
        </w:rPr>
        <w:t>5.2</w:t>
      </w:r>
      <w:r>
        <w:rPr>
          <w:rFonts w:ascii="Arial" w:hAnsi="Arial" w:cs="Arial"/>
          <w:color w:val="auto"/>
        </w:rPr>
        <w:tab/>
      </w:r>
      <w:r w:rsidRPr="008223B9">
        <w:rPr>
          <w:rFonts w:ascii="Arial" w:hAnsi="Arial" w:cs="Arial"/>
          <w:color w:val="auto"/>
        </w:rPr>
        <w:t>Due Diligence Assessments</w:t>
      </w:r>
      <w:bookmarkEnd w:id="21"/>
    </w:p>
    <w:p w14:paraId="035AB8C6" w14:textId="77777777" w:rsidR="008223B9" w:rsidRPr="008223B9" w:rsidRDefault="008223B9" w:rsidP="008223B9">
      <w:pPr>
        <w:rPr>
          <w:rFonts w:ascii="Arial" w:hAnsi="Arial" w:cs="Arial"/>
        </w:rPr>
      </w:pPr>
      <w:r w:rsidRPr="008223B9">
        <w:rPr>
          <w:rFonts w:ascii="Arial" w:hAnsi="Arial" w:cs="Arial"/>
        </w:rPr>
        <w:t>Unless exempt, all applicants are subject to a risk assessment which verifies business details provided with the Australian Business Register, Australian Securities and Investment Commission, Australian Charities and Not-for-profits Commissioner, Consumer Affairs Victoria and/or other applicable regulator.</w:t>
      </w:r>
    </w:p>
    <w:p w14:paraId="4A6F3276" w14:textId="77777777" w:rsidR="008223B9" w:rsidRPr="008223B9" w:rsidRDefault="008223B9" w:rsidP="008223B9">
      <w:pPr>
        <w:rPr>
          <w:rFonts w:ascii="Arial" w:hAnsi="Arial" w:cs="Arial"/>
        </w:rPr>
      </w:pPr>
      <w:r w:rsidRPr="008223B9">
        <w:rPr>
          <w:rFonts w:ascii="Arial" w:hAnsi="Arial" w:cs="Arial"/>
        </w:rPr>
        <w:t>Any of the following circumstances may be taken into consideration in any decision whether to award a grant:</w:t>
      </w:r>
    </w:p>
    <w:p w14:paraId="26EFAAFE" w14:textId="77777777" w:rsidR="008223B9" w:rsidRPr="008223B9" w:rsidRDefault="008223B9" w:rsidP="008223B9">
      <w:pPr>
        <w:pStyle w:val="ListParagraph"/>
        <w:numPr>
          <w:ilvl w:val="0"/>
          <w:numId w:val="8"/>
        </w:numPr>
        <w:rPr>
          <w:rFonts w:cs="Arial"/>
          <w:color w:val="auto"/>
          <w:sz w:val="22"/>
          <w:szCs w:val="22"/>
        </w:rPr>
      </w:pPr>
      <w:r w:rsidRPr="008223B9">
        <w:rPr>
          <w:rFonts w:cs="Arial"/>
          <w:color w:val="auto"/>
          <w:sz w:val="22"/>
          <w:szCs w:val="22"/>
        </w:rPr>
        <w:t xml:space="preserve">Any adverse findings by a regulator regarding an </w:t>
      </w:r>
      <w:proofErr w:type="gramStart"/>
      <w:r w:rsidRPr="008223B9">
        <w:rPr>
          <w:rFonts w:cs="Arial"/>
          <w:color w:val="auto"/>
          <w:sz w:val="22"/>
          <w:szCs w:val="22"/>
        </w:rPr>
        <w:t>applicant;</w:t>
      </w:r>
      <w:proofErr w:type="gramEnd"/>
    </w:p>
    <w:p w14:paraId="537F88BF" w14:textId="77777777" w:rsidR="008223B9" w:rsidRPr="008223B9" w:rsidRDefault="008223B9" w:rsidP="008223B9">
      <w:pPr>
        <w:pStyle w:val="ListParagraph"/>
        <w:numPr>
          <w:ilvl w:val="0"/>
          <w:numId w:val="8"/>
        </w:numPr>
        <w:rPr>
          <w:rFonts w:cs="Arial"/>
          <w:color w:val="auto"/>
          <w:sz w:val="22"/>
          <w:szCs w:val="22"/>
        </w:rPr>
      </w:pPr>
      <w:r w:rsidRPr="008223B9">
        <w:rPr>
          <w:rFonts w:cs="Arial"/>
          <w:color w:val="auto"/>
          <w:sz w:val="22"/>
          <w:szCs w:val="22"/>
        </w:rPr>
        <w:t xml:space="preserve">An applicant is placed under external </w:t>
      </w:r>
      <w:proofErr w:type="gramStart"/>
      <w:r w:rsidRPr="008223B9">
        <w:rPr>
          <w:rFonts w:cs="Arial"/>
          <w:color w:val="auto"/>
          <w:sz w:val="22"/>
          <w:szCs w:val="22"/>
        </w:rPr>
        <w:t>administration;</w:t>
      </w:r>
      <w:proofErr w:type="gramEnd"/>
    </w:p>
    <w:p w14:paraId="5EADE33F" w14:textId="77777777" w:rsidR="008223B9" w:rsidRPr="008223B9" w:rsidRDefault="008223B9" w:rsidP="008223B9">
      <w:pPr>
        <w:pStyle w:val="ListParagraph"/>
        <w:numPr>
          <w:ilvl w:val="0"/>
          <w:numId w:val="8"/>
        </w:numPr>
        <w:rPr>
          <w:rFonts w:cs="Arial"/>
          <w:color w:val="auto"/>
          <w:sz w:val="22"/>
          <w:szCs w:val="22"/>
        </w:rPr>
      </w:pPr>
      <w:r w:rsidRPr="008223B9">
        <w:rPr>
          <w:rFonts w:cs="Arial"/>
          <w:color w:val="auto"/>
          <w:sz w:val="22"/>
          <w:szCs w:val="22"/>
        </w:rPr>
        <w:t xml:space="preserve">There is a petition to wind up or deregister the </w:t>
      </w:r>
      <w:proofErr w:type="gramStart"/>
      <w:r w:rsidRPr="008223B9">
        <w:rPr>
          <w:rFonts w:cs="Arial"/>
          <w:color w:val="auto"/>
          <w:sz w:val="22"/>
          <w:szCs w:val="22"/>
        </w:rPr>
        <w:t>applicant;</w:t>
      </w:r>
      <w:proofErr w:type="gramEnd"/>
    </w:p>
    <w:p w14:paraId="4FF3DC40" w14:textId="77777777" w:rsidR="008223B9" w:rsidRPr="008223B9" w:rsidRDefault="008223B9" w:rsidP="008223B9">
      <w:pPr>
        <w:pStyle w:val="ListParagraph"/>
        <w:numPr>
          <w:ilvl w:val="0"/>
          <w:numId w:val="8"/>
        </w:numPr>
        <w:rPr>
          <w:rFonts w:cs="Arial"/>
          <w:color w:val="auto"/>
          <w:sz w:val="22"/>
          <w:szCs w:val="22"/>
        </w:rPr>
      </w:pPr>
      <w:r w:rsidRPr="008223B9">
        <w:rPr>
          <w:rFonts w:cs="Arial"/>
          <w:color w:val="auto"/>
          <w:sz w:val="22"/>
          <w:szCs w:val="22"/>
        </w:rPr>
        <w:t>The applicant is or becomes deregistered or unregistered (including cancellation or lapse in registration).</w:t>
      </w:r>
    </w:p>
    <w:p w14:paraId="59556076" w14:textId="77777777" w:rsidR="008223B9" w:rsidRPr="008223B9" w:rsidRDefault="008223B9" w:rsidP="008223B9">
      <w:pPr>
        <w:rPr>
          <w:rFonts w:ascii="Arial" w:hAnsi="Arial" w:cs="Arial"/>
        </w:rPr>
      </w:pPr>
      <w:r w:rsidRPr="008223B9">
        <w:rPr>
          <w:rFonts w:ascii="Arial" w:hAnsi="Arial" w:cs="Arial"/>
        </w:rPr>
        <w:t xml:space="preserve">The Department may at any time remove an applicant from the application process if in the Department’s opinion association with the applicant may bring the Department, a </w:t>
      </w:r>
      <w:proofErr w:type="gramStart"/>
      <w:r w:rsidRPr="008223B9">
        <w:rPr>
          <w:rFonts w:ascii="Arial" w:hAnsi="Arial" w:cs="Arial"/>
        </w:rPr>
        <w:t>Minister</w:t>
      </w:r>
      <w:proofErr w:type="gramEnd"/>
      <w:r w:rsidRPr="008223B9">
        <w:rPr>
          <w:rFonts w:ascii="Arial" w:hAnsi="Arial" w:cs="Arial"/>
        </w:rPr>
        <w:t xml:space="preserve"> or the State of Victoria into disrepute.</w:t>
      </w:r>
    </w:p>
    <w:p w14:paraId="3B626735" w14:textId="7363C77E" w:rsidR="008223B9" w:rsidRPr="008223B9" w:rsidRDefault="008223B9" w:rsidP="008223B9">
      <w:pPr>
        <w:pStyle w:val="Heading2"/>
        <w:rPr>
          <w:rFonts w:ascii="Arial" w:hAnsi="Arial" w:cs="Arial"/>
          <w:color w:val="auto"/>
        </w:rPr>
      </w:pPr>
      <w:bookmarkStart w:id="22" w:name="_Toc113549370"/>
      <w:r>
        <w:rPr>
          <w:rFonts w:ascii="Arial" w:hAnsi="Arial" w:cs="Arial"/>
          <w:color w:val="auto"/>
        </w:rPr>
        <w:t>5.3</w:t>
      </w:r>
      <w:r>
        <w:rPr>
          <w:rFonts w:ascii="Arial" w:hAnsi="Arial" w:cs="Arial"/>
          <w:color w:val="auto"/>
        </w:rPr>
        <w:tab/>
      </w:r>
      <w:r w:rsidRPr="008223B9">
        <w:rPr>
          <w:rFonts w:ascii="Arial" w:hAnsi="Arial" w:cs="Arial"/>
          <w:color w:val="auto"/>
        </w:rPr>
        <w:t>Financial Risk Assessments</w:t>
      </w:r>
      <w:bookmarkEnd w:id="22"/>
    </w:p>
    <w:p w14:paraId="491E3C03" w14:textId="77777777" w:rsidR="008223B9" w:rsidRPr="008223B9" w:rsidRDefault="008223B9" w:rsidP="008223B9">
      <w:pPr>
        <w:rPr>
          <w:rFonts w:ascii="Arial" w:hAnsi="Arial" w:cs="Arial"/>
        </w:rPr>
      </w:pPr>
      <w:r w:rsidRPr="008223B9">
        <w:rPr>
          <w:rFonts w:ascii="Arial" w:hAnsi="Arial" w:cs="Arial"/>
        </w:rPr>
        <w:t>For non-TAFE applicants, the Department will undertake a financial assessment on the applicant if requesting a grant over $50,000 to assess the ability of the applicant to deliver the proposed project. Outcomes from the financial assessment may be taken into consideration in any decision to recommend, award and contract the grant.</w:t>
      </w:r>
    </w:p>
    <w:p w14:paraId="75F2A58C" w14:textId="49FE8ADF" w:rsidR="008223B9" w:rsidRPr="008223B9" w:rsidRDefault="008223B9" w:rsidP="008223B9">
      <w:pPr>
        <w:pStyle w:val="Heading1"/>
        <w:rPr>
          <w:rFonts w:ascii="Arial" w:hAnsi="Arial" w:cs="Arial"/>
          <w:color w:val="auto"/>
        </w:rPr>
      </w:pPr>
      <w:bookmarkStart w:id="23" w:name="_Toc113549371"/>
      <w:r>
        <w:rPr>
          <w:rFonts w:ascii="Arial" w:hAnsi="Arial" w:cs="Arial"/>
          <w:color w:val="auto"/>
        </w:rPr>
        <w:t>6</w:t>
      </w:r>
      <w:r>
        <w:rPr>
          <w:rFonts w:ascii="Arial" w:hAnsi="Arial" w:cs="Arial"/>
          <w:color w:val="auto"/>
        </w:rPr>
        <w:tab/>
      </w:r>
      <w:r w:rsidRPr="008223B9">
        <w:rPr>
          <w:rFonts w:ascii="Arial" w:hAnsi="Arial" w:cs="Arial"/>
          <w:color w:val="auto"/>
        </w:rPr>
        <w:t>Application Process and Timeline</w:t>
      </w:r>
      <w:bookmarkEnd w:id="23"/>
    </w:p>
    <w:p w14:paraId="78C5F2CD" w14:textId="10626D7E" w:rsidR="008223B9" w:rsidRPr="008223B9" w:rsidRDefault="008223B9" w:rsidP="008223B9">
      <w:pPr>
        <w:pStyle w:val="Heading2"/>
        <w:rPr>
          <w:rFonts w:ascii="Arial" w:hAnsi="Arial" w:cs="Arial"/>
          <w:color w:val="auto"/>
        </w:rPr>
      </w:pPr>
      <w:bookmarkStart w:id="24" w:name="_Toc113549372"/>
      <w:r>
        <w:rPr>
          <w:rFonts w:ascii="Arial" w:hAnsi="Arial" w:cs="Arial"/>
          <w:color w:val="auto"/>
        </w:rPr>
        <w:t>6.1</w:t>
      </w:r>
      <w:r>
        <w:rPr>
          <w:rFonts w:ascii="Arial" w:hAnsi="Arial" w:cs="Arial"/>
          <w:color w:val="auto"/>
        </w:rPr>
        <w:tab/>
      </w:r>
      <w:r w:rsidRPr="008223B9">
        <w:rPr>
          <w:rFonts w:ascii="Arial" w:hAnsi="Arial" w:cs="Arial"/>
          <w:color w:val="auto"/>
        </w:rPr>
        <w:t xml:space="preserve">Prepare an </w:t>
      </w:r>
      <w:proofErr w:type="gramStart"/>
      <w:r w:rsidRPr="008223B9">
        <w:rPr>
          <w:rFonts w:ascii="Arial" w:hAnsi="Arial" w:cs="Arial"/>
          <w:color w:val="auto"/>
        </w:rPr>
        <w:t>Application</w:t>
      </w:r>
      <w:bookmarkEnd w:id="24"/>
      <w:proofErr w:type="gramEnd"/>
    </w:p>
    <w:p w14:paraId="5D00A7EB" w14:textId="77777777" w:rsidR="008223B9" w:rsidRPr="008223B9" w:rsidRDefault="008223B9" w:rsidP="008223B9">
      <w:pPr>
        <w:rPr>
          <w:rFonts w:ascii="Arial" w:hAnsi="Arial" w:cs="Arial"/>
        </w:rPr>
      </w:pPr>
      <w:r w:rsidRPr="008223B9">
        <w:rPr>
          <w:rFonts w:ascii="Arial" w:hAnsi="Arial" w:cs="Arial"/>
        </w:rPr>
        <w:t>Applicants must undertake the following steps to apply:</w:t>
      </w:r>
    </w:p>
    <w:p w14:paraId="7D36CF8A" w14:textId="77777777" w:rsidR="008223B9" w:rsidRPr="008223B9" w:rsidRDefault="008223B9" w:rsidP="008223B9">
      <w:pPr>
        <w:pStyle w:val="ListParagraph"/>
        <w:numPr>
          <w:ilvl w:val="0"/>
          <w:numId w:val="9"/>
        </w:numPr>
        <w:rPr>
          <w:rFonts w:cs="Arial"/>
          <w:color w:val="auto"/>
          <w:sz w:val="22"/>
          <w:szCs w:val="22"/>
        </w:rPr>
      </w:pPr>
      <w:r w:rsidRPr="008223B9">
        <w:rPr>
          <w:rFonts w:cs="Arial"/>
          <w:color w:val="auto"/>
          <w:sz w:val="22"/>
          <w:szCs w:val="22"/>
        </w:rPr>
        <w:t>Carefully read these Program Guidelines and refer to the Frequently Asked Questions provided.</w:t>
      </w:r>
    </w:p>
    <w:p w14:paraId="3AC4D3EC" w14:textId="77777777" w:rsidR="008223B9" w:rsidRPr="008223B9" w:rsidRDefault="008223B9" w:rsidP="008223B9">
      <w:pPr>
        <w:pStyle w:val="ListParagraph"/>
        <w:numPr>
          <w:ilvl w:val="0"/>
          <w:numId w:val="9"/>
        </w:numPr>
        <w:rPr>
          <w:rFonts w:cs="Arial"/>
          <w:color w:val="auto"/>
          <w:sz w:val="22"/>
          <w:szCs w:val="22"/>
        </w:rPr>
      </w:pPr>
      <w:r w:rsidRPr="008223B9">
        <w:rPr>
          <w:rFonts w:cs="Arial"/>
          <w:color w:val="auto"/>
          <w:sz w:val="22"/>
          <w:szCs w:val="22"/>
        </w:rPr>
        <w:t>Consider speaking to the Department for application support (See Section 6.3) as such support is only available prior to an application being submitted.</w:t>
      </w:r>
    </w:p>
    <w:p w14:paraId="2C02E911" w14:textId="77777777" w:rsidR="008223B9" w:rsidRPr="008223B9" w:rsidRDefault="008223B9" w:rsidP="008223B9">
      <w:pPr>
        <w:pStyle w:val="ListParagraph"/>
        <w:numPr>
          <w:ilvl w:val="0"/>
          <w:numId w:val="9"/>
        </w:numPr>
        <w:rPr>
          <w:rFonts w:cs="Arial"/>
          <w:color w:val="auto"/>
          <w:sz w:val="22"/>
          <w:szCs w:val="22"/>
        </w:rPr>
      </w:pPr>
      <w:r w:rsidRPr="008223B9">
        <w:rPr>
          <w:rFonts w:cs="Arial"/>
          <w:color w:val="auto"/>
          <w:sz w:val="22"/>
          <w:szCs w:val="22"/>
        </w:rPr>
        <w:lastRenderedPageBreak/>
        <w:t>Compile all necessary supporting documents to apply as detailed in Section 3.3 “Mandatory Documentation and Information Requirements” of these Program Guidelines.</w:t>
      </w:r>
    </w:p>
    <w:p w14:paraId="06B3ECF9" w14:textId="77777777" w:rsidR="008223B9" w:rsidRPr="008223B9" w:rsidRDefault="008223B9" w:rsidP="008223B9">
      <w:pPr>
        <w:pStyle w:val="ListParagraph"/>
        <w:numPr>
          <w:ilvl w:val="0"/>
          <w:numId w:val="9"/>
        </w:numPr>
        <w:rPr>
          <w:rFonts w:cs="Arial"/>
          <w:color w:val="auto"/>
          <w:sz w:val="22"/>
          <w:szCs w:val="22"/>
        </w:rPr>
      </w:pPr>
      <w:proofErr w:type="gramStart"/>
      <w:r w:rsidRPr="008223B9">
        <w:rPr>
          <w:rFonts w:cs="Arial"/>
          <w:color w:val="auto"/>
          <w:sz w:val="22"/>
          <w:szCs w:val="22"/>
        </w:rPr>
        <w:t>Submit an application</w:t>
      </w:r>
      <w:proofErr w:type="gramEnd"/>
      <w:r w:rsidRPr="008223B9">
        <w:rPr>
          <w:rFonts w:cs="Arial"/>
          <w:color w:val="auto"/>
          <w:sz w:val="22"/>
          <w:szCs w:val="22"/>
        </w:rPr>
        <w:t xml:space="preserve"> via the online application form, addressing all selection criteria and providing all necessary documentation listed on the program website.</w:t>
      </w:r>
    </w:p>
    <w:p w14:paraId="3F96BDFC" w14:textId="77777777" w:rsidR="008223B9" w:rsidRPr="00B6638E" w:rsidRDefault="008223B9" w:rsidP="008223B9">
      <w:pPr>
        <w:pStyle w:val="ListParagraph"/>
        <w:numPr>
          <w:ilvl w:val="0"/>
          <w:numId w:val="9"/>
        </w:numPr>
        <w:rPr>
          <w:rFonts w:cs="Arial"/>
          <w:color w:val="auto"/>
          <w:sz w:val="22"/>
          <w:szCs w:val="22"/>
        </w:rPr>
      </w:pPr>
      <w:r w:rsidRPr="00B6638E">
        <w:rPr>
          <w:rFonts w:cs="Arial"/>
          <w:color w:val="auto"/>
          <w:sz w:val="22"/>
          <w:szCs w:val="22"/>
        </w:rPr>
        <w:t>Await email confirmation of application submission. Please check junk/spam folder if confirmation email cannot be seen in your inbox.</w:t>
      </w:r>
    </w:p>
    <w:p w14:paraId="150348DD" w14:textId="5603E8BD" w:rsidR="008223B9" w:rsidRPr="00B6638E" w:rsidRDefault="008223B9" w:rsidP="008223B9">
      <w:pPr>
        <w:pStyle w:val="Heading2"/>
        <w:rPr>
          <w:rFonts w:ascii="Arial" w:hAnsi="Arial" w:cs="Arial"/>
          <w:color w:val="auto"/>
        </w:rPr>
      </w:pPr>
      <w:bookmarkStart w:id="25" w:name="_Toc113549373"/>
      <w:r w:rsidRPr="00B6638E">
        <w:rPr>
          <w:rFonts w:ascii="Arial" w:hAnsi="Arial" w:cs="Arial"/>
          <w:color w:val="auto"/>
        </w:rPr>
        <w:t>6.2</w:t>
      </w:r>
      <w:r w:rsidRPr="00B6638E">
        <w:rPr>
          <w:rFonts w:ascii="Arial" w:hAnsi="Arial" w:cs="Arial"/>
          <w:color w:val="auto"/>
        </w:rPr>
        <w:tab/>
        <w:t>Program timeline</w:t>
      </w:r>
      <w:bookmarkEnd w:id="25"/>
    </w:p>
    <w:p w14:paraId="3A0EF15F" w14:textId="77777777" w:rsidR="008223B9" w:rsidRPr="00B6638E" w:rsidRDefault="008223B9" w:rsidP="008223B9">
      <w:pPr>
        <w:rPr>
          <w:rFonts w:ascii="Arial" w:hAnsi="Arial" w:cs="Arial"/>
        </w:rPr>
      </w:pPr>
      <w:r w:rsidRPr="00B6638E">
        <w:rPr>
          <w:rFonts w:ascii="Arial" w:hAnsi="Arial" w:cs="Arial"/>
        </w:rPr>
        <w:t>The table below outlines key timelines. All timelines are indicative and subject to change following the application and assessment process.</w:t>
      </w:r>
    </w:p>
    <w:p w14:paraId="6A4E8DFE" w14:textId="77777777" w:rsidR="008223B9" w:rsidRPr="00B6638E" w:rsidRDefault="008223B9" w:rsidP="008223B9">
      <w:pPr>
        <w:rPr>
          <w:rFonts w:ascii="Arial" w:hAnsi="Arial" w:cs="Arial"/>
        </w:rPr>
      </w:pPr>
      <w:r w:rsidRPr="00B6638E">
        <w:rPr>
          <w:rFonts w:ascii="Arial" w:hAnsi="Arial" w:cs="Arial"/>
        </w:rPr>
        <w:t>All projects funded through this Program should be completed, with all funding expended, by 30 May 2024. No payments to projects will be made after 15 June 2024.</w:t>
      </w:r>
    </w:p>
    <w:tbl>
      <w:tblPr>
        <w:tblStyle w:val="TableGrid"/>
        <w:tblW w:w="4994" w:type="pct"/>
        <w:tblLook w:val="04A0" w:firstRow="1" w:lastRow="0" w:firstColumn="1" w:lastColumn="0" w:noHBand="0" w:noVBand="1"/>
      </w:tblPr>
      <w:tblGrid>
        <w:gridCol w:w="841"/>
        <w:gridCol w:w="5162"/>
        <w:gridCol w:w="3002"/>
      </w:tblGrid>
      <w:tr w:rsidR="00B6638E" w:rsidRPr="000E0802" w14:paraId="35711D03" w14:textId="77777777" w:rsidTr="00B6638E">
        <w:tc>
          <w:tcPr>
            <w:tcW w:w="467" w:type="pct"/>
            <w:shd w:val="clear" w:color="auto" w:fill="auto"/>
          </w:tcPr>
          <w:p w14:paraId="62AA4A39" w14:textId="77777777" w:rsidR="008223B9" w:rsidRPr="000E0802" w:rsidRDefault="008223B9" w:rsidP="00B6638E">
            <w:pPr>
              <w:jc w:val="center"/>
              <w:rPr>
                <w:rFonts w:ascii="Arial" w:hAnsi="Arial" w:cs="Arial"/>
                <w:b/>
                <w:bCs/>
              </w:rPr>
            </w:pPr>
            <w:r w:rsidRPr="000E0802">
              <w:rPr>
                <w:rFonts w:ascii="Arial" w:hAnsi="Arial" w:cs="Arial"/>
                <w:b/>
                <w:bCs/>
              </w:rPr>
              <w:t>No.</w:t>
            </w:r>
          </w:p>
        </w:tc>
        <w:tc>
          <w:tcPr>
            <w:tcW w:w="2866" w:type="pct"/>
            <w:shd w:val="clear" w:color="auto" w:fill="auto"/>
          </w:tcPr>
          <w:p w14:paraId="39EE5DB3" w14:textId="77777777" w:rsidR="008223B9" w:rsidRPr="000E0802" w:rsidRDefault="008223B9" w:rsidP="007D5EBF">
            <w:pPr>
              <w:rPr>
                <w:rFonts w:ascii="Arial" w:hAnsi="Arial" w:cs="Arial"/>
                <w:b/>
                <w:bCs/>
              </w:rPr>
            </w:pPr>
            <w:r w:rsidRPr="000E0802">
              <w:rPr>
                <w:rFonts w:ascii="Arial" w:hAnsi="Arial" w:cs="Arial"/>
                <w:b/>
                <w:bCs/>
              </w:rPr>
              <w:t>Key milestone</w:t>
            </w:r>
          </w:p>
        </w:tc>
        <w:tc>
          <w:tcPr>
            <w:tcW w:w="1667" w:type="pct"/>
            <w:shd w:val="clear" w:color="auto" w:fill="auto"/>
          </w:tcPr>
          <w:p w14:paraId="088D7293" w14:textId="77777777" w:rsidR="008223B9" w:rsidRPr="000E0802" w:rsidRDefault="008223B9" w:rsidP="007D5EBF">
            <w:pPr>
              <w:rPr>
                <w:rFonts w:ascii="Arial" w:hAnsi="Arial" w:cs="Arial"/>
                <w:b/>
                <w:bCs/>
              </w:rPr>
            </w:pPr>
            <w:r w:rsidRPr="000E0802">
              <w:rPr>
                <w:rFonts w:ascii="Arial" w:hAnsi="Arial" w:cs="Arial"/>
                <w:b/>
                <w:bCs/>
              </w:rPr>
              <w:t>Date</w:t>
            </w:r>
          </w:p>
        </w:tc>
      </w:tr>
      <w:tr w:rsidR="00B6638E" w:rsidRPr="000E0802" w14:paraId="34319BA6" w14:textId="77777777" w:rsidTr="007D5EBF">
        <w:tc>
          <w:tcPr>
            <w:tcW w:w="467" w:type="pct"/>
          </w:tcPr>
          <w:p w14:paraId="4F72CAFD" w14:textId="77777777" w:rsidR="008223B9" w:rsidRPr="000E0802" w:rsidRDefault="008223B9" w:rsidP="00B6638E">
            <w:pPr>
              <w:jc w:val="center"/>
              <w:rPr>
                <w:rFonts w:ascii="Arial" w:hAnsi="Arial" w:cs="Arial"/>
              </w:rPr>
            </w:pPr>
            <w:r w:rsidRPr="000E0802">
              <w:rPr>
                <w:rFonts w:ascii="Arial" w:hAnsi="Arial" w:cs="Arial"/>
              </w:rPr>
              <w:t>1</w:t>
            </w:r>
          </w:p>
        </w:tc>
        <w:tc>
          <w:tcPr>
            <w:tcW w:w="2866" w:type="pct"/>
          </w:tcPr>
          <w:p w14:paraId="01E23005" w14:textId="77777777" w:rsidR="008223B9" w:rsidRPr="000E0802" w:rsidRDefault="008223B9" w:rsidP="007D5EBF">
            <w:pPr>
              <w:rPr>
                <w:rFonts w:ascii="Arial" w:hAnsi="Arial" w:cs="Arial"/>
              </w:rPr>
            </w:pPr>
            <w:r w:rsidRPr="000E0802">
              <w:rPr>
                <w:rFonts w:ascii="Arial" w:hAnsi="Arial" w:cs="Arial"/>
              </w:rPr>
              <w:t>Application process opens</w:t>
            </w:r>
          </w:p>
        </w:tc>
        <w:tc>
          <w:tcPr>
            <w:tcW w:w="1667" w:type="pct"/>
          </w:tcPr>
          <w:p w14:paraId="5D58D6B4" w14:textId="43BAEE60" w:rsidR="008223B9" w:rsidRPr="000E0802" w:rsidRDefault="000C7369" w:rsidP="007D5EBF">
            <w:pPr>
              <w:rPr>
                <w:rFonts w:ascii="Arial" w:hAnsi="Arial" w:cs="Arial"/>
              </w:rPr>
            </w:pPr>
            <w:r>
              <w:rPr>
                <w:rFonts w:ascii="Arial" w:hAnsi="Arial" w:cs="Arial"/>
              </w:rPr>
              <w:t>2</w:t>
            </w:r>
            <w:r w:rsidR="00891D29">
              <w:rPr>
                <w:rFonts w:ascii="Arial" w:hAnsi="Arial" w:cs="Arial"/>
              </w:rPr>
              <w:t>8</w:t>
            </w:r>
            <w:r w:rsidR="008223B9" w:rsidRPr="000E0802">
              <w:rPr>
                <w:rFonts w:ascii="Arial" w:hAnsi="Arial" w:cs="Arial"/>
              </w:rPr>
              <w:t xml:space="preserve"> September 2022</w:t>
            </w:r>
          </w:p>
        </w:tc>
      </w:tr>
      <w:tr w:rsidR="00B6638E" w:rsidRPr="000E0802" w14:paraId="08F69B48" w14:textId="77777777" w:rsidTr="007D5EBF">
        <w:tc>
          <w:tcPr>
            <w:tcW w:w="467" w:type="pct"/>
          </w:tcPr>
          <w:p w14:paraId="6E2CFB21" w14:textId="77777777" w:rsidR="008223B9" w:rsidRPr="000E0802" w:rsidRDefault="008223B9" w:rsidP="00B6638E">
            <w:pPr>
              <w:jc w:val="center"/>
              <w:rPr>
                <w:rFonts w:ascii="Arial" w:hAnsi="Arial" w:cs="Arial"/>
              </w:rPr>
            </w:pPr>
            <w:r w:rsidRPr="000E0802">
              <w:rPr>
                <w:rFonts w:ascii="Arial" w:hAnsi="Arial" w:cs="Arial"/>
              </w:rPr>
              <w:t>2</w:t>
            </w:r>
          </w:p>
        </w:tc>
        <w:tc>
          <w:tcPr>
            <w:tcW w:w="2866" w:type="pct"/>
          </w:tcPr>
          <w:p w14:paraId="4EAB1A4C" w14:textId="77777777" w:rsidR="008223B9" w:rsidRPr="000E0802" w:rsidRDefault="008223B9" w:rsidP="007D5EBF">
            <w:pPr>
              <w:rPr>
                <w:rFonts w:ascii="Arial" w:hAnsi="Arial" w:cs="Arial"/>
              </w:rPr>
            </w:pPr>
            <w:r w:rsidRPr="000E0802">
              <w:rPr>
                <w:rFonts w:ascii="Arial" w:hAnsi="Arial" w:cs="Arial"/>
              </w:rPr>
              <w:t>Application process closes</w:t>
            </w:r>
          </w:p>
        </w:tc>
        <w:tc>
          <w:tcPr>
            <w:tcW w:w="1667" w:type="pct"/>
          </w:tcPr>
          <w:p w14:paraId="151CB273" w14:textId="3FEBAE1A" w:rsidR="008223B9" w:rsidRPr="000E0802" w:rsidRDefault="008223B9" w:rsidP="007D5EBF">
            <w:pPr>
              <w:rPr>
                <w:rFonts w:ascii="Arial" w:hAnsi="Arial" w:cs="Arial"/>
              </w:rPr>
            </w:pPr>
            <w:r w:rsidRPr="000E0802">
              <w:rPr>
                <w:rFonts w:ascii="Arial" w:hAnsi="Arial" w:cs="Arial"/>
              </w:rPr>
              <w:t xml:space="preserve">4pm </w:t>
            </w:r>
            <w:r w:rsidR="00F021FB">
              <w:rPr>
                <w:rFonts w:ascii="Arial" w:hAnsi="Arial" w:cs="Arial"/>
              </w:rPr>
              <w:t>2</w:t>
            </w:r>
            <w:r w:rsidR="00891D29">
              <w:rPr>
                <w:rFonts w:ascii="Arial" w:hAnsi="Arial" w:cs="Arial"/>
              </w:rPr>
              <w:t>3</w:t>
            </w:r>
            <w:r w:rsidRPr="000E0802">
              <w:rPr>
                <w:rFonts w:ascii="Arial" w:hAnsi="Arial" w:cs="Arial"/>
              </w:rPr>
              <w:t xml:space="preserve"> November 2022</w:t>
            </w:r>
          </w:p>
        </w:tc>
      </w:tr>
      <w:tr w:rsidR="00B6638E" w:rsidRPr="000E0802" w14:paraId="3CE74ABA" w14:textId="77777777" w:rsidTr="007D5EBF">
        <w:tc>
          <w:tcPr>
            <w:tcW w:w="467" w:type="pct"/>
          </w:tcPr>
          <w:p w14:paraId="77AFC0CA" w14:textId="77777777" w:rsidR="008223B9" w:rsidRPr="000E0802" w:rsidRDefault="008223B9" w:rsidP="00B6638E">
            <w:pPr>
              <w:jc w:val="center"/>
              <w:rPr>
                <w:rFonts w:ascii="Arial" w:hAnsi="Arial" w:cs="Arial"/>
              </w:rPr>
            </w:pPr>
            <w:r w:rsidRPr="000E0802">
              <w:rPr>
                <w:rFonts w:ascii="Arial" w:hAnsi="Arial" w:cs="Arial"/>
              </w:rPr>
              <w:t>3</w:t>
            </w:r>
          </w:p>
        </w:tc>
        <w:tc>
          <w:tcPr>
            <w:tcW w:w="2866" w:type="pct"/>
          </w:tcPr>
          <w:p w14:paraId="2C8408F5" w14:textId="77777777" w:rsidR="008223B9" w:rsidRPr="000E0802" w:rsidRDefault="008223B9" w:rsidP="007D5EBF">
            <w:pPr>
              <w:rPr>
                <w:rFonts w:ascii="Arial" w:hAnsi="Arial" w:cs="Arial"/>
              </w:rPr>
            </w:pPr>
            <w:r w:rsidRPr="000E0802">
              <w:rPr>
                <w:rFonts w:ascii="Arial" w:hAnsi="Arial" w:cs="Arial"/>
              </w:rPr>
              <w:t>Notification of application outcome</w:t>
            </w:r>
          </w:p>
        </w:tc>
        <w:tc>
          <w:tcPr>
            <w:tcW w:w="1667" w:type="pct"/>
          </w:tcPr>
          <w:p w14:paraId="60587758" w14:textId="77777777" w:rsidR="008223B9" w:rsidRPr="000E0802" w:rsidRDefault="008223B9" w:rsidP="007D5EBF">
            <w:pPr>
              <w:rPr>
                <w:rFonts w:ascii="Arial" w:hAnsi="Arial" w:cs="Arial"/>
              </w:rPr>
            </w:pPr>
            <w:r w:rsidRPr="000E0802">
              <w:rPr>
                <w:rFonts w:ascii="Arial" w:hAnsi="Arial" w:cs="Arial"/>
              </w:rPr>
              <w:t>February 2023</w:t>
            </w:r>
          </w:p>
        </w:tc>
      </w:tr>
      <w:tr w:rsidR="00B6638E" w:rsidRPr="000E0802" w14:paraId="5AD53AD8" w14:textId="77777777" w:rsidTr="007D5EBF">
        <w:tc>
          <w:tcPr>
            <w:tcW w:w="467" w:type="pct"/>
          </w:tcPr>
          <w:p w14:paraId="102AA0A8" w14:textId="77777777" w:rsidR="008223B9" w:rsidRPr="000E0802" w:rsidRDefault="008223B9" w:rsidP="00B6638E">
            <w:pPr>
              <w:jc w:val="center"/>
              <w:rPr>
                <w:rFonts w:ascii="Arial" w:hAnsi="Arial" w:cs="Arial"/>
              </w:rPr>
            </w:pPr>
            <w:r w:rsidRPr="000E0802">
              <w:rPr>
                <w:rFonts w:ascii="Arial" w:hAnsi="Arial" w:cs="Arial"/>
              </w:rPr>
              <w:t>4</w:t>
            </w:r>
          </w:p>
        </w:tc>
        <w:tc>
          <w:tcPr>
            <w:tcW w:w="2866" w:type="pct"/>
          </w:tcPr>
          <w:p w14:paraId="4E6213C3" w14:textId="77777777" w:rsidR="008223B9" w:rsidRPr="000E0802" w:rsidRDefault="008223B9" w:rsidP="007D5EBF">
            <w:pPr>
              <w:rPr>
                <w:rFonts w:ascii="Arial" w:hAnsi="Arial" w:cs="Arial"/>
              </w:rPr>
            </w:pPr>
            <w:r w:rsidRPr="000E0802">
              <w:rPr>
                <w:rFonts w:ascii="Arial" w:hAnsi="Arial" w:cs="Arial"/>
              </w:rPr>
              <w:t>Executed agreement with DJPR</w:t>
            </w:r>
          </w:p>
        </w:tc>
        <w:tc>
          <w:tcPr>
            <w:tcW w:w="1667" w:type="pct"/>
          </w:tcPr>
          <w:p w14:paraId="239D0BAA" w14:textId="77777777" w:rsidR="008223B9" w:rsidRPr="000E0802" w:rsidRDefault="008223B9" w:rsidP="007D5EBF">
            <w:pPr>
              <w:rPr>
                <w:rFonts w:ascii="Arial" w:hAnsi="Arial" w:cs="Arial"/>
              </w:rPr>
            </w:pPr>
            <w:r w:rsidRPr="000E0802">
              <w:rPr>
                <w:rFonts w:ascii="Arial" w:hAnsi="Arial" w:cs="Arial"/>
              </w:rPr>
              <w:t>4 weeks after notification</w:t>
            </w:r>
          </w:p>
        </w:tc>
      </w:tr>
      <w:tr w:rsidR="00B6638E" w:rsidRPr="000E0802" w14:paraId="5F2D9CA3" w14:textId="77777777" w:rsidTr="007D5EBF">
        <w:tc>
          <w:tcPr>
            <w:tcW w:w="467" w:type="pct"/>
          </w:tcPr>
          <w:p w14:paraId="413F5240" w14:textId="77777777" w:rsidR="008223B9" w:rsidRPr="000E0802" w:rsidRDefault="008223B9" w:rsidP="00B6638E">
            <w:pPr>
              <w:jc w:val="center"/>
              <w:rPr>
                <w:rFonts w:ascii="Arial" w:hAnsi="Arial" w:cs="Arial"/>
              </w:rPr>
            </w:pPr>
            <w:r w:rsidRPr="000E0802">
              <w:rPr>
                <w:rFonts w:ascii="Arial" w:hAnsi="Arial" w:cs="Arial"/>
              </w:rPr>
              <w:t>5</w:t>
            </w:r>
          </w:p>
        </w:tc>
        <w:tc>
          <w:tcPr>
            <w:tcW w:w="2866" w:type="pct"/>
          </w:tcPr>
          <w:p w14:paraId="35433CAA" w14:textId="77777777" w:rsidR="008223B9" w:rsidRPr="000E0802" w:rsidRDefault="008223B9" w:rsidP="007D5EBF">
            <w:pPr>
              <w:rPr>
                <w:rFonts w:ascii="Arial" w:hAnsi="Arial" w:cs="Arial"/>
              </w:rPr>
            </w:pPr>
            <w:r w:rsidRPr="000E0802">
              <w:rPr>
                <w:rFonts w:ascii="Arial" w:hAnsi="Arial" w:cs="Arial"/>
              </w:rPr>
              <w:t>First financial milestone will include delivery of project implementation plan and communication and marketing plan.</w:t>
            </w:r>
          </w:p>
        </w:tc>
        <w:tc>
          <w:tcPr>
            <w:tcW w:w="1667" w:type="pct"/>
          </w:tcPr>
          <w:p w14:paraId="6F7B104F" w14:textId="77777777" w:rsidR="008223B9" w:rsidRPr="000E0802" w:rsidRDefault="008223B9" w:rsidP="007D5EBF">
            <w:pPr>
              <w:rPr>
                <w:rFonts w:ascii="Arial" w:hAnsi="Arial" w:cs="Arial"/>
              </w:rPr>
            </w:pPr>
            <w:r w:rsidRPr="000E0802">
              <w:rPr>
                <w:rFonts w:ascii="Arial" w:hAnsi="Arial" w:cs="Arial"/>
              </w:rPr>
              <w:t>Within 1 month of executed agreement</w:t>
            </w:r>
          </w:p>
        </w:tc>
      </w:tr>
      <w:tr w:rsidR="00B6638E" w:rsidRPr="000E0802" w14:paraId="25ABA0E2" w14:textId="77777777" w:rsidTr="007D5EBF">
        <w:tc>
          <w:tcPr>
            <w:tcW w:w="467" w:type="pct"/>
          </w:tcPr>
          <w:p w14:paraId="73DEEF74" w14:textId="77777777" w:rsidR="008223B9" w:rsidRPr="000E0802" w:rsidRDefault="008223B9" w:rsidP="00B6638E">
            <w:pPr>
              <w:jc w:val="center"/>
              <w:rPr>
                <w:rFonts w:ascii="Arial" w:hAnsi="Arial" w:cs="Arial"/>
              </w:rPr>
            </w:pPr>
            <w:r w:rsidRPr="000E0802">
              <w:rPr>
                <w:rFonts w:ascii="Arial" w:hAnsi="Arial" w:cs="Arial"/>
              </w:rPr>
              <w:t>6</w:t>
            </w:r>
          </w:p>
        </w:tc>
        <w:tc>
          <w:tcPr>
            <w:tcW w:w="2866" w:type="pct"/>
          </w:tcPr>
          <w:p w14:paraId="4A9537F7" w14:textId="77777777" w:rsidR="008223B9" w:rsidRPr="000E0802" w:rsidRDefault="008223B9" w:rsidP="007D5EBF">
            <w:pPr>
              <w:rPr>
                <w:rFonts w:ascii="Arial" w:hAnsi="Arial" w:cs="Arial"/>
              </w:rPr>
            </w:pPr>
            <w:r w:rsidRPr="000E0802">
              <w:rPr>
                <w:rFonts w:ascii="Arial" w:hAnsi="Arial" w:cs="Arial"/>
              </w:rPr>
              <w:t>Program delivery including reporting and evaluation</w:t>
            </w:r>
          </w:p>
        </w:tc>
        <w:tc>
          <w:tcPr>
            <w:tcW w:w="1667" w:type="pct"/>
          </w:tcPr>
          <w:p w14:paraId="5990DE43" w14:textId="77777777" w:rsidR="008223B9" w:rsidRPr="000E0802" w:rsidRDefault="008223B9" w:rsidP="007D5EBF">
            <w:pPr>
              <w:rPr>
                <w:rFonts w:ascii="Arial" w:hAnsi="Arial" w:cs="Arial"/>
              </w:rPr>
            </w:pPr>
            <w:r w:rsidRPr="000E0802">
              <w:rPr>
                <w:rFonts w:ascii="Arial" w:hAnsi="Arial" w:cs="Arial"/>
              </w:rPr>
              <w:t>From grant execution through May 2024</w:t>
            </w:r>
          </w:p>
        </w:tc>
      </w:tr>
      <w:tr w:rsidR="00B6638E" w:rsidRPr="000E0802" w14:paraId="6B17890E" w14:textId="77777777" w:rsidTr="007D5EBF">
        <w:tc>
          <w:tcPr>
            <w:tcW w:w="467" w:type="pct"/>
          </w:tcPr>
          <w:p w14:paraId="4447D132" w14:textId="77777777" w:rsidR="008223B9" w:rsidRPr="000E0802" w:rsidRDefault="008223B9" w:rsidP="00B6638E">
            <w:pPr>
              <w:jc w:val="center"/>
              <w:rPr>
                <w:rFonts w:ascii="Arial" w:hAnsi="Arial" w:cs="Arial"/>
              </w:rPr>
            </w:pPr>
            <w:r w:rsidRPr="000E0802">
              <w:rPr>
                <w:rFonts w:ascii="Arial" w:hAnsi="Arial" w:cs="Arial"/>
              </w:rPr>
              <w:t>7</w:t>
            </w:r>
          </w:p>
        </w:tc>
        <w:tc>
          <w:tcPr>
            <w:tcW w:w="2866" w:type="pct"/>
          </w:tcPr>
          <w:p w14:paraId="123155DD" w14:textId="77777777" w:rsidR="008223B9" w:rsidRPr="000E0802" w:rsidRDefault="008223B9" w:rsidP="007D5EBF">
            <w:pPr>
              <w:rPr>
                <w:rFonts w:ascii="Arial" w:hAnsi="Arial" w:cs="Arial"/>
              </w:rPr>
            </w:pPr>
            <w:r w:rsidRPr="000E0802">
              <w:rPr>
                <w:rFonts w:ascii="Arial" w:hAnsi="Arial" w:cs="Arial"/>
              </w:rPr>
              <w:t>Program completion</w:t>
            </w:r>
          </w:p>
        </w:tc>
        <w:tc>
          <w:tcPr>
            <w:tcW w:w="1667" w:type="pct"/>
          </w:tcPr>
          <w:p w14:paraId="09B7CBF1" w14:textId="77777777" w:rsidR="008223B9" w:rsidRPr="000E0802" w:rsidRDefault="008223B9" w:rsidP="007D5EBF">
            <w:pPr>
              <w:rPr>
                <w:rFonts w:ascii="Arial" w:hAnsi="Arial" w:cs="Arial"/>
              </w:rPr>
            </w:pPr>
            <w:r w:rsidRPr="000E0802">
              <w:rPr>
                <w:rFonts w:ascii="Arial" w:hAnsi="Arial" w:cs="Arial"/>
              </w:rPr>
              <w:t>By 30 May 2024</w:t>
            </w:r>
          </w:p>
        </w:tc>
      </w:tr>
    </w:tbl>
    <w:p w14:paraId="00F1DA3F" w14:textId="7DE0B9BA" w:rsidR="008223B9" w:rsidRPr="00B6638E" w:rsidRDefault="008223B9" w:rsidP="008223B9">
      <w:pPr>
        <w:pStyle w:val="Heading2"/>
        <w:rPr>
          <w:rFonts w:ascii="Arial" w:hAnsi="Arial" w:cs="Arial"/>
          <w:color w:val="auto"/>
        </w:rPr>
      </w:pPr>
      <w:bookmarkStart w:id="26" w:name="_Toc113549374"/>
      <w:r w:rsidRPr="00B6638E">
        <w:rPr>
          <w:rFonts w:ascii="Arial" w:hAnsi="Arial" w:cs="Arial"/>
          <w:color w:val="auto"/>
        </w:rPr>
        <w:t>6.3</w:t>
      </w:r>
      <w:r w:rsidRPr="00B6638E">
        <w:rPr>
          <w:rFonts w:ascii="Arial" w:hAnsi="Arial" w:cs="Arial"/>
          <w:color w:val="auto"/>
        </w:rPr>
        <w:tab/>
        <w:t>Application Support</w:t>
      </w:r>
      <w:bookmarkEnd w:id="26"/>
    </w:p>
    <w:p w14:paraId="594E559D" w14:textId="77777777" w:rsidR="008223B9" w:rsidRPr="00B6638E" w:rsidRDefault="008223B9" w:rsidP="008223B9">
      <w:pPr>
        <w:rPr>
          <w:rFonts w:ascii="Arial" w:hAnsi="Arial" w:cs="Arial"/>
        </w:rPr>
      </w:pPr>
      <w:r w:rsidRPr="00B6638E">
        <w:rPr>
          <w:rFonts w:ascii="Arial" w:hAnsi="Arial" w:cs="Arial"/>
        </w:rPr>
        <w:t xml:space="preserve">Organisations are encouraged to contact the Department of Jobs, Precincts and Regions (the Department) at the email address below before </w:t>
      </w:r>
      <w:proofErr w:type="gramStart"/>
      <w:r w:rsidRPr="00B6638E">
        <w:rPr>
          <w:rFonts w:ascii="Arial" w:hAnsi="Arial" w:cs="Arial"/>
        </w:rPr>
        <w:t>submitting an application</w:t>
      </w:r>
      <w:proofErr w:type="gramEnd"/>
      <w:r w:rsidRPr="00B6638E">
        <w:rPr>
          <w:rFonts w:ascii="Arial" w:hAnsi="Arial" w:cs="Arial"/>
        </w:rPr>
        <w:t xml:space="preserve">. A representative will then call you to discuss your funding request prior to submission. This provides an opportunity to test proposed projects against program objectives and address significant gaps in the application. All queries should be directed to: </w:t>
      </w:r>
      <w:hyperlink r:id="rId11" w:history="1">
        <w:r w:rsidRPr="00B6638E">
          <w:rPr>
            <w:rStyle w:val="Hyperlink"/>
            <w:rFonts w:ascii="Arial" w:hAnsi="Arial" w:cs="Arial"/>
            <w:color w:val="auto"/>
          </w:rPr>
          <w:t>skillsandsafety@agriculture.vic.gov.au</w:t>
        </w:r>
      </w:hyperlink>
      <w:r w:rsidRPr="00B6638E">
        <w:rPr>
          <w:rFonts w:ascii="Arial" w:hAnsi="Arial" w:cs="Arial"/>
        </w:rPr>
        <w:t xml:space="preserve">. </w:t>
      </w:r>
    </w:p>
    <w:p w14:paraId="2D3740C1" w14:textId="77777777" w:rsidR="008223B9" w:rsidRPr="00B6638E" w:rsidRDefault="008223B9" w:rsidP="008223B9">
      <w:pPr>
        <w:rPr>
          <w:rFonts w:ascii="Arial" w:hAnsi="Arial" w:cs="Arial"/>
        </w:rPr>
      </w:pPr>
      <w:r w:rsidRPr="00B6638E">
        <w:rPr>
          <w:rFonts w:ascii="Arial" w:hAnsi="Arial" w:cs="Arial"/>
        </w:rPr>
        <w:t xml:space="preserve">Applicant organisations are required to submit a completed online application form that addresses all selection criteria and includes any supporting documentation. To help organisations prepare their application before submitting, a link to the online application form and Frequently Asked Questions is available at </w:t>
      </w:r>
      <w:hyperlink r:id="rId12" w:history="1">
        <w:r w:rsidRPr="00B6638E">
          <w:rPr>
            <w:rStyle w:val="Hyperlink"/>
            <w:rFonts w:ascii="Arial" w:hAnsi="Arial" w:cs="Arial"/>
            <w:color w:val="auto"/>
          </w:rPr>
          <w:t>agriculture.vic.gov.au/</w:t>
        </w:r>
        <w:proofErr w:type="spellStart"/>
        <w:r w:rsidRPr="00B6638E">
          <w:rPr>
            <w:rStyle w:val="Hyperlink"/>
            <w:rFonts w:ascii="Arial" w:hAnsi="Arial" w:cs="Arial"/>
            <w:color w:val="auto"/>
          </w:rPr>
          <w:t>agcollegeprogram</w:t>
        </w:r>
        <w:proofErr w:type="spellEnd"/>
      </w:hyperlink>
      <w:r w:rsidRPr="00B6638E">
        <w:rPr>
          <w:rFonts w:ascii="Arial" w:hAnsi="Arial" w:cs="Arial"/>
        </w:rPr>
        <w:t xml:space="preserve"> </w:t>
      </w:r>
    </w:p>
    <w:p w14:paraId="4B14BA66" w14:textId="44A11187" w:rsidR="008223B9" w:rsidRPr="00B6638E" w:rsidRDefault="008223B9" w:rsidP="008223B9">
      <w:pPr>
        <w:pStyle w:val="Heading1"/>
        <w:rPr>
          <w:rFonts w:ascii="Arial" w:hAnsi="Arial" w:cs="Arial"/>
          <w:color w:val="auto"/>
        </w:rPr>
      </w:pPr>
      <w:bookmarkStart w:id="27" w:name="_Toc113549375"/>
      <w:bookmarkStart w:id="28" w:name="_Toc315765092"/>
      <w:bookmarkStart w:id="29" w:name="_Toc39495218"/>
      <w:r w:rsidRPr="00B6638E">
        <w:rPr>
          <w:rFonts w:ascii="Arial" w:hAnsi="Arial" w:cs="Arial"/>
          <w:color w:val="auto"/>
        </w:rPr>
        <w:t>7</w:t>
      </w:r>
      <w:r w:rsidRPr="00B6638E">
        <w:rPr>
          <w:rFonts w:ascii="Arial" w:hAnsi="Arial" w:cs="Arial"/>
          <w:color w:val="auto"/>
        </w:rPr>
        <w:tab/>
        <w:t>Conditions of Funding</w:t>
      </w:r>
      <w:bookmarkEnd w:id="27"/>
      <w:r w:rsidRPr="00B6638E">
        <w:rPr>
          <w:rFonts w:ascii="Arial" w:hAnsi="Arial" w:cs="Arial"/>
          <w:color w:val="auto"/>
        </w:rPr>
        <w:t xml:space="preserve"> </w:t>
      </w:r>
      <w:bookmarkEnd w:id="28"/>
      <w:bookmarkEnd w:id="29"/>
    </w:p>
    <w:p w14:paraId="753FA980" w14:textId="71EBC488" w:rsidR="008223B9" w:rsidRPr="00B6638E" w:rsidRDefault="008223B9" w:rsidP="008223B9">
      <w:pPr>
        <w:pStyle w:val="Heading2"/>
        <w:rPr>
          <w:rFonts w:ascii="Arial" w:hAnsi="Arial" w:cs="Arial"/>
          <w:color w:val="auto"/>
        </w:rPr>
      </w:pPr>
      <w:bookmarkStart w:id="30" w:name="_Toc113549376"/>
      <w:r w:rsidRPr="00B6638E">
        <w:rPr>
          <w:rFonts w:ascii="Arial" w:hAnsi="Arial" w:cs="Arial"/>
          <w:color w:val="auto"/>
        </w:rPr>
        <w:t>7.1</w:t>
      </w:r>
      <w:r w:rsidRPr="00B6638E">
        <w:rPr>
          <w:rFonts w:ascii="Arial" w:hAnsi="Arial" w:cs="Arial"/>
          <w:color w:val="auto"/>
        </w:rPr>
        <w:tab/>
        <w:t>Grant Agreements</w:t>
      </w:r>
      <w:bookmarkEnd w:id="30"/>
    </w:p>
    <w:p w14:paraId="26569A86" w14:textId="77777777" w:rsidR="008223B9" w:rsidRPr="00B6638E" w:rsidRDefault="008223B9" w:rsidP="008223B9">
      <w:pPr>
        <w:rPr>
          <w:rFonts w:ascii="Arial" w:hAnsi="Arial" w:cs="Arial"/>
        </w:rPr>
      </w:pPr>
      <w:r w:rsidRPr="00B6638E">
        <w:rPr>
          <w:rFonts w:ascii="Arial" w:hAnsi="Arial" w:cs="Arial"/>
        </w:rPr>
        <w:t xml:space="preserve">Subject to approval of the project, applicants will be invited to enter into a legally binding grant agreement with the Department. The grant agreement details all funding obligations and conditions. Applicants will have 30 calendar days from the date of the Letter of Offer to accept the offer in writing and 60 calendar days from the date of acceptance to execute the Grant Agreement with the Department. The offer may be withdrawn if the Grant Agreement is not executed within the </w:t>
      </w:r>
      <w:proofErr w:type="gramStart"/>
      <w:r w:rsidRPr="00B6638E">
        <w:rPr>
          <w:rFonts w:ascii="Arial" w:hAnsi="Arial" w:cs="Arial"/>
        </w:rPr>
        <w:t>60 day</w:t>
      </w:r>
      <w:proofErr w:type="gramEnd"/>
      <w:r w:rsidRPr="00B6638E">
        <w:rPr>
          <w:rFonts w:ascii="Arial" w:hAnsi="Arial" w:cs="Arial"/>
        </w:rPr>
        <w:t xml:space="preserve"> timeframe.</w:t>
      </w:r>
    </w:p>
    <w:p w14:paraId="6372C671" w14:textId="77777777" w:rsidR="008223B9" w:rsidRPr="00B6638E" w:rsidRDefault="008223B9" w:rsidP="008223B9">
      <w:pPr>
        <w:rPr>
          <w:rFonts w:ascii="Arial" w:hAnsi="Arial" w:cs="Arial"/>
        </w:rPr>
      </w:pPr>
      <w:r w:rsidRPr="00B6638E">
        <w:rPr>
          <w:rFonts w:ascii="Arial" w:hAnsi="Arial" w:cs="Arial"/>
        </w:rPr>
        <w:t>The project must not commence until a grant agreement has been duly executed by both the Department and the successful applicant.</w:t>
      </w:r>
    </w:p>
    <w:p w14:paraId="4533CCFE" w14:textId="6EEC18AB" w:rsidR="008223B9" w:rsidRPr="00B6638E" w:rsidRDefault="008223B9" w:rsidP="008223B9">
      <w:pPr>
        <w:pStyle w:val="Heading2"/>
        <w:rPr>
          <w:rFonts w:ascii="Arial" w:hAnsi="Arial" w:cs="Arial"/>
          <w:color w:val="auto"/>
        </w:rPr>
      </w:pPr>
      <w:bookmarkStart w:id="31" w:name="_Toc113549377"/>
      <w:r w:rsidRPr="00B6638E">
        <w:rPr>
          <w:rFonts w:ascii="Arial" w:hAnsi="Arial" w:cs="Arial"/>
          <w:color w:val="auto"/>
        </w:rPr>
        <w:t>7.2</w:t>
      </w:r>
      <w:r w:rsidRPr="00B6638E">
        <w:rPr>
          <w:rFonts w:ascii="Arial" w:hAnsi="Arial" w:cs="Arial"/>
          <w:color w:val="auto"/>
        </w:rPr>
        <w:tab/>
        <w:t>Intellectual Property of Learning Resources</w:t>
      </w:r>
      <w:bookmarkEnd w:id="31"/>
    </w:p>
    <w:p w14:paraId="6F4C1459" w14:textId="0E4F4B60" w:rsidR="008223B9" w:rsidRPr="00B6638E" w:rsidRDefault="008223B9" w:rsidP="008223B9">
      <w:pPr>
        <w:rPr>
          <w:rFonts w:ascii="Arial" w:hAnsi="Arial" w:cs="Arial"/>
        </w:rPr>
      </w:pPr>
      <w:r w:rsidRPr="00B6638E">
        <w:rPr>
          <w:rFonts w:ascii="Arial" w:hAnsi="Arial" w:cs="Arial"/>
        </w:rPr>
        <w:t xml:space="preserve">All training curriculum, teaching and learning resources designed and developed through a funded project will be shared with the Department of Education and Training directly and </w:t>
      </w:r>
      <w:r w:rsidRPr="00B6638E">
        <w:rPr>
          <w:rFonts w:ascii="Arial" w:hAnsi="Arial" w:cs="Arial"/>
        </w:rPr>
        <w:lastRenderedPageBreak/>
        <w:t>through the Vocational Education and Training Shared Learning Resources platform providing unlimited licence to government to use as appropriate. This includes curriculum associated with skillsets.</w:t>
      </w:r>
    </w:p>
    <w:p w14:paraId="54B57FA2" w14:textId="77777777" w:rsidR="008223B9" w:rsidRPr="00B6638E" w:rsidRDefault="008223B9" w:rsidP="008223B9">
      <w:pPr>
        <w:rPr>
          <w:rFonts w:ascii="Arial" w:hAnsi="Arial" w:cs="Arial"/>
        </w:rPr>
      </w:pPr>
      <w:r w:rsidRPr="00B6638E">
        <w:rPr>
          <w:rFonts w:ascii="Arial" w:hAnsi="Arial" w:cs="Arial"/>
        </w:rPr>
        <w:t>Successful applicants agree to licence developed materials including intellectual property rights to users of the learning resources when the resources are uploaded onto the platform.</w:t>
      </w:r>
    </w:p>
    <w:p w14:paraId="51EE59DE" w14:textId="4DBE7B7B" w:rsidR="008223B9" w:rsidRPr="00B6638E" w:rsidRDefault="008223B9" w:rsidP="008223B9">
      <w:pPr>
        <w:pStyle w:val="Heading2"/>
        <w:rPr>
          <w:rFonts w:ascii="Arial" w:hAnsi="Arial" w:cs="Arial"/>
          <w:color w:val="auto"/>
        </w:rPr>
      </w:pPr>
      <w:bookmarkStart w:id="32" w:name="_Toc113549378"/>
      <w:r w:rsidRPr="00B6638E">
        <w:rPr>
          <w:rFonts w:ascii="Arial" w:hAnsi="Arial" w:cs="Arial"/>
          <w:color w:val="auto"/>
        </w:rPr>
        <w:t>7.3</w:t>
      </w:r>
      <w:r w:rsidRPr="00B6638E">
        <w:rPr>
          <w:rFonts w:ascii="Arial" w:hAnsi="Arial" w:cs="Arial"/>
          <w:color w:val="auto"/>
        </w:rPr>
        <w:tab/>
        <w:t>Other Conditions</w:t>
      </w:r>
      <w:bookmarkEnd w:id="32"/>
    </w:p>
    <w:p w14:paraId="3FFA88B1" w14:textId="77777777" w:rsidR="008223B9" w:rsidRPr="00B6638E" w:rsidRDefault="008223B9" w:rsidP="008223B9">
      <w:pPr>
        <w:rPr>
          <w:rFonts w:ascii="Arial" w:hAnsi="Arial" w:cs="Arial"/>
        </w:rPr>
      </w:pPr>
      <w:r w:rsidRPr="00B6638E">
        <w:rPr>
          <w:rFonts w:ascii="Arial" w:hAnsi="Arial" w:cs="Arial"/>
        </w:rPr>
        <w:t>These Guidelines and any discussions you may have with the Department representatives are for information only and do not constitute advice.</w:t>
      </w:r>
    </w:p>
    <w:p w14:paraId="095ACF7D" w14:textId="5A31F83F" w:rsidR="008223B9" w:rsidRPr="00B6638E" w:rsidRDefault="008223B9" w:rsidP="008223B9">
      <w:pPr>
        <w:rPr>
          <w:rFonts w:ascii="Arial" w:hAnsi="Arial" w:cs="Arial"/>
        </w:rPr>
      </w:pPr>
      <w:r w:rsidRPr="00B6638E">
        <w:rPr>
          <w:rFonts w:ascii="Arial" w:hAnsi="Arial" w:cs="Arial"/>
        </w:rPr>
        <w:t>All costs related to the preparation of the application is to be borne or funded by the applicant organisation. The Department does not provide this as part of the funding.</w:t>
      </w:r>
    </w:p>
    <w:p w14:paraId="679B5B23" w14:textId="7375A1E8" w:rsidR="00B6638E" w:rsidRPr="00B6638E" w:rsidRDefault="00B6638E" w:rsidP="00B6638E">
      <w:pPr>
        <w:pStyle w:val="Heading1"/>
        <w:rPr>
          <w:rFonts w:ascii="Arial" w:hAnsi="Arial" w:cs="Arial"/>
          <w:color w:val="auto"/>
        </w:rPr>
      </w:pPr>
      <w:bookmarkStart w:id="33" w:name="_Toc113549379"/>
      <w:r>
        <w:rPr>
          <w:rFonts w:ascii="Arial" w:hAnsi="Arial" w:cs="Arial"/>
          <w:color w:val="auto"/>
        </w:rPr>
        <w:t>8</w:t>
      </w:r>
      <w:r>
        <w:rPr>
          <w:rFonts w:ascii="Arial" w:hAnsi="Arial" w:cs="Arial"/>
          <w:color w:val="auto"/>
        </w:rPr>
        <w:tab/>
      </w:r>
      <w:r w:rsidRPr="00B6638E">
        <w:rPr>
          <w:rFonts w:ascii="Arial" w:hAnsi="Arial" w:cs="Arial"/>
          <w:color w:val="auto"/>
        </w:rPr>
        <w:t>Evaluation of the Fund</w:t>
      </w:r>
      <w:bookmarkEnd w:id="33"/>
    </w:p>
    <w:p w14:paraId="4E044E97" w14:textId="77777777" w:rsidR="00B6638E" w:rsidRPr="00B6638E" w:rsidRDefault="00B6638E" w:rsidP="00B6638E">
      <w:pPr>
        <w:rPr>
          <w:rFonts w:ascii="Arial" w:hAnsi="Arial" w:cs="Arial"/>
        </w:rPr>
      </w:pPr>
      <w:r w:rsidRPr="00B6638E">
        <w:rPr>
          <w:rFonts w:ascii="Arial" w:hAnsi="Arial" w:cs="Arial"/>
        </w:rPr>
        <w:t>The Victorian Government may conduct an evaluation to determine the extent to which the Future Agriculture Skills Capacity Fund has contributed to Victorian Government policy objectives.</w:t>
      </w:r>
    </w:p>
    <w:p w14:paraId="1647E0E2" w14:textId="77777777" w:rsidR="00B6638E" w:rsidRPr="00B6638E" w:rsidRDefault="00B6638E" w:rsidP="00B6638E">
      <w:pPr>
        <w:rPr>
          <w:rFonts w:ascii="Arial" w:hAnsi="Arial" w:cs="Arial"/>
        </w:rPr>
      </w:pPr>
      <w:r w:rsidRPr="00B6638E">
        <w:rPr>
          <w:rFonts w:ascii="Arial" w:hAnsi="Arial" w:cs="Arial"/>
        </w:rPr>
        <w:t>Grant recipients will be expected to provide information to assist in auditing during the project or the evaluation after grant completion if this is requested.</w:t>
      </w:r>
    </w:p>
    <w:p w14:paraId="7E44687F" w14:textId="7F9E1A86" w:rsidR="00B6638E" w:rsidRPr="00B6638E" w:rsidRDefault="00B6638E" w:rsidP="00B6638E">
      <w:pPr>
        <w:pStyle w:val="Heading1"/>
        <w:rPr>
          <w:rFonts w:ascii="Arial" w:hAnsi="Arial" w:cs="Arial"/>
          <w:color w:val="auto"/>
        </w:rPr>
      </w:pPr>
      <w:bookmarkStart w:id="34" w:name="_Toc113549380"/>
      <w:r w:rsidRPr="00B6638E">
        <w:rPr>
          <w:rFonts w:ascii="Arial" w:hAnsi="Arial" w:cs="Arial"/>
          <w:color w:val="auto"/>
        </w:rPr>
        <w:t>9</w:t>
      </w:r>
      <w:r w:rsidRPr="00B6638E">
        <w:rPr>
          <w:rFonts w:ascii="Arial" w:hAnsi="Arial" w:cs="Arial"/>
          <w:color w:val="auto"/>
        </w:rPr>
        <w:tab/>
        <w:t>Publicity</w:t>
      </w:r>
      <w:bookmarkEnd w:id="34"/>
    </w:p>
    <w:p w14:paraId="2169B9DD" w14:textId="77777777" w:rsidR="00B6638E" w:rsidRPr="00B6638E" w:rsidRDefault="00B6638E" w:rsidP="00B6638E">
      <w:pPr>
        <w:rPr>
          <w:rFonts w:ascii="Arial" w:hAnsi="Arial" w:cs="Arial"/>
        </w:rPr>
      </w:pPr>
      <w:r w:rsidRPr="00B6638E">
        <w:rPr>
          <w:rFonts w:ascii="Arial" w:hAnsi="Arial" w:cs="Arial"/>
        </w:rPr>
        <w:t>Grant recipients may be asked to assist the Department in promotion of the Fund. This may include involvement in media releases, case studies or promotional events and activities.</w:t>
      </w:r>
    </w:p>
    <w:p w14:paraId="700C1226" w14:textId="77777777" w:rsidR="00B6638E" w:rsidRPr="00B6638E" w:rsidRDefault="00B6638E" w:rsidP="00B6638E">
      <w:pPr>
        <w:rPr>
          <w:rFonts w:ascii="Arial" w:hAnsi="Arial" w:cs="Arial"/>
        </w:rPr>
      </w:pPr>
      <w:r w:rsidRPr="00B6638E">
        <w:rPr>
          <w:rFonts w:ascii="Arial" w:hAnsi="Arial" w:cs="Arial"/>
        </w:rPr>
        <w:t>The Department may request recipients to fact check any text and seek approval to use any owned imagery associated with the project prior to the publication of any such promotional materials.</w:t>
      </w:r>
    </w:p>
    <w:p w14:paraId="1A2124DB" w14:textId="77777777" w:rsidR="00B6638E" w:rsidRPr="00B6638E" w:rsidRDefault="00B6638E" w:rsidP="00B6638E">
      <w:pPr>
        <w:rPr>
          <w:rFonts w:ascii="Arial" w:hAnsi="Arial" w:cs="Arial"/>
        </w:rPr>
      </w:pPr>
      <w:r w:rsidRPr="00B6638E">
        <w:rPr>
          <w:rFonts w:ascii="Arial" w:hAnsi="Arial" w:cs="Arial"/>
        </w:rPr>
        <w:t>Recipients must not make any public announcement or issue any press release regarding the receipt of a grant without prior written approval from the Department.</w:t>
      </w:r>
    </w:p>
    <w:p w14:paraId="048FB284" w14:textId="77777777" w:rsidR="00B6638E" w:rsidRPr="00B6638E" w:rsidRDefault="00B6638E" w:rsidP="00B6638E">
      <w:pPr>
        <w:rPr>
          <w:rFonts w:ascii="Arial" w:hAnsi="Arial" w:cs="Arial"/>
        </w:rPr>
      </w:pPr>
      <w:r w:rsidRPr="00B6638E">
        <w:rPr>
          <w:rFonts w:ascii="Arial" w:hAnsi="Arial" w:cs="Arial"/>
        </w:rPr>
        <w:t>The Department may include the name of the recipient and/or grant amount in any publicity material and in the Department’s annual report.</w:t>
      </w:r>
    </w:p>
    <w:p w14:paraId="17C013F9" w14:textId="77777777" w:rsidR="00B6638E" w:rsidRPr="00B6638E" w:rsidRDefault="00B6638E" w:rsidP="00B6638E">
      <w:pPr>
        <w:rPr>
          <w:rFonts w:ascii="Arial" w:hAnsi="Arial" w:cs="Arial"/>
        </w:rPr>
      </w:pPr>
      <w:r w:rsidRPr="00B6638E">
        <w:rPr>
          <w:rFonts w:ascii="Arial" w:hAnsi="Arial" w:cs="Arial"/>
        </w:rPr>
        <w:t xml:space="preserve">If requested by the Department, the recipient must ensure that the State’s support for the grant is acknowledged on all promotional materials and appropriate signage, consistent with the Guidelines for Victorian Government Advertising and Communications (available at </w:t>
      </w:r>
      <w:hyperlink r:id="rId13" w:history="1">
        <w:r w:rsidRPr="00B6638E">
          <w:rPr>
            <w:rStyle w:val="Hyperlink"/>
            <w:rFonts w:ascii="Arial" w:hAnsi="Arial" w:cs="Arial"/>
            <w:color w:val="auto"/>
          </w:rPr>
          <w:t>www.dpc.vic.gov.au</w:t>
        </w:r>
      </w:hyperlink>
      <w:r w:rsidRPr="00B6638E">
        <w:rPr>
          <w:rFonts w:ascii="Arial" w:hAnsi="Arial" w:cs="Arial"/>
        </w:rPr>
        <w:t>) or as otherwise specified by the Department.</w:t>
      </w:r>
    </w:p>
    <w:p w14:paraId="09C49608" w14:textId="7C756B77" w:rsidR="00B6638E" w:rsidRPr="00B6638E" w:rsidRDefault="00B6638E" w:rsidP="00B6638E">
      <w:pPr>
        <w:pStyle w:val="Heading1"/>
        <w:rPr>
          <w:rFonts w:ascii="Arial" w:hAnsi="Arial" w:cs="Arial"/>
          <w:color w:val="auto"/>
        </w:rPr>
      </w:pPr>
      <w:bookmarkStart w:id="35" w:name="_Toc113549381"/>
      <w:r w:rsidRPr="00B6638E">
        <w:rPr>
          <w:rFonts w:ascii="Arial" w:hAnsi="Arial" w:cs="Arial"/>
          <w:color w:val="auto"/>
        </w:rPr>
        <w:t>10</w:t>
      </w:r>
      <w:r w:rsidRPr="00B6638E">
        <w:rPr>
          <w:rFonts w:ascii="Arial" w:hAnsi="Arial" w:cs="Arial"/>
          <w:color w:val="auto"/>
        </w:rPr>
        <w:tab/>
        <w:t>Privacy Statement</w:t>
      </w:r>
      <w:bookmarkEnd w:id="35"/>
    </w:p>
    <w:p w14:paraId="55BC6189" w14:textId="77777777" w:rsidR="00B6638E" w:rsidRPr="00B6638E" w:rsidRDefault="00B6638E" w:rsidP="00B6638E">
      <w:pPr>
        <w:rPr>
          <w:rFonts w:ascii="Arial" w:hAnsi="Arial" w:cs="Arial"/>
        </w:rPr>
      </w:pPr>
      <w:r w:rsidRPr="00B6638E">
        <w:rPr>
          <w:rFonts w:ascii="Arial" w:hAnsi="Arial" w:cs="Arial"/>
        </w:rPr>
        <w:t>Any personal information provided by the applicant in an application will be collected by the Department for the purpose of program administration. This information may be provided to other Victorian Government bodies for the purposes of assessing applications. If confidential personal information about third parties is included in an application, applicants are required to ensure that the third party is aware of and consent to the contents of this Privacy Statement.</w:t>
      </w:r>
    </w:p>
    <w:p w14:paraId="36F69A30" w14:textId="77777777" w:rsidR="00B6638E" w:rsidRPr="00B6638E" w:rsidRDefault="00B6638E" w:rsidP="00B6638E">
      <w:pPr>
        <w:rPr>
          <w:rFonts w:ascii="Arial" w:hAnsi="Arial" w:cs="Arial"/>
        </w:rPr>
      </w:pPr>
      <w:r w:rsidRPr="00B6638E">
        <w:rPr>
          <w:rFonts w:ascii="Arial" w:hAnsi="Arial" w:cs="Arial"/>
        </w:rPr>
        <w:t xml:space="preserve">Any personal information collected, held, managed, used, </w:t>
      </w:r>
      <w:proofErr w:type="gramStart"/>
      <w:r w:rsidRPr="00B6638E">
        <w:rPr>
          <w:rFonts w:ascii="Arial" w:hAnsi="Arial" w:cs="Arial"/>
        </w:rPr>
        <w:t>disclosed</w:t>
      </w:r>
      <w:proofErr w:type="gramEnd"/>
      <w:r w:rsidRPr="00B6638E">
        <w:rPr>
          <w:rFonts w:ascii="Arial" w:hAnsi="Arial" w:cs="Arial"/>
        </w:rPr>
        <w:t xml:space="preserve"> or transferred will be held in accordance with the provisions of the Privacy and Data Protection Act 2014 (Vic) and other applicable laws.</w:t>
      </w:r>
    </w:p>
    <w:p w14:paraId="2D85FFFA" w14:textId="77777777" w:rsidR="00B6638E" w:rsidRPr="00B6638E" w:rsidRDefault="00B6638E" w:rsidP="00B6638E">
      <w:pPr>
        <w:rPr>
          <w:rFonts w:ascii="Arial" w:hAnsi="Arial" w:cs="Arial"/>
        </w:rPr>
      </w:pPr>
      <w:r w:rsidRPr="00B6638E">
        <w:rPr>
          <w:rFonts w:ascii="Arial" w:hAnsi="Arial" w:cs="Arial"/>
        </w:rPr>
        <w:t xml:space="preserve">The Department is committed to protecting the privacy of personal information. Enquiries about access to personal information, or other concerns regarding the privacy of personal </w:t>
      </w:r>
      <w:r w:rsidRPr="00B6638E">
        <w:rPr>
          <w:rFonts w:ascii="Arial" w:hAnsi="Arial" w:cs="Arial"/>
        </w:rPr>
        <w:lastRenderedPageBreak/>
        <w:t>information, can be emailed to the Department’s Privacy Unit at privacy@ecodev.vic.gov.au. The Department’s privacy policy is also available by emailing the Department’s Privacy Unit.</w:t>
      </w:r>
    </w:p>
    <w:p w14:paraId="583D9947" w14:textId="0CA4CAAD" w:rsidR="00B6638E" w:rsidRPr="00B6638E" w:rsidRDefault="00B6638E" w:rsidP="00B6638E">
      <w:pPr>
        <w:pStyle w:val="Heading1"/>
        <w:rPr>
          <w:rFonts w:ascii="Arial" w:hAnsi="Arial" w:cs="Arial"/>
          <w:color w:val="auto"/>
        </w:rPr>
      </w:pPr>
      <w:bookmarkStart w:id="36" w:name="_Toc113549382"/>
      <w:r>
        <w:rPr>
          <w:rFonts w:ascii="Arial" w:hAnsi="Arial" w:cs="Arial"/>
          <w:color w:val="auto"/>
        </w:rPr>
        <w:t>11</w:t>
      </w:r>
      <w:r>
        <w:rPr>
          <w:rFonts w:ascii="Arial" w:hAnsi="Arial" w:cs="Arial"/>
          <w:color w:val="auto"/>
        </w:rPr>
        <w:tab/>
      </w:r>
      <w:r w:rsidRPr="00B6638E">
        <w:rPr>
          <w:rFonts w:ascii="Arial" w:hAnsi="Arial" w:cs="Arial"/>
          <w:color w:val="auto"/>
        </w:rPr>
        <w:t>Departmental Discretion</w:t>
      </w:r>
      <w:bookmarkEnd w:id="36"/>
    </w:p>
    <w:p w14:paraId="4E2E2477" w14:textId="266D53C0" w:rsidR="00B6638E" w:rsidRPr="00B6638E" w:rsidRDefault="00B6638E" w:rsidP="00B6638E">
      <w:pPr>
        <w:pStyle w:val="Heading2"/>
        <w:rPr>
          <w:rFonts w:ascii="Arial" w:hAnsi="Arial" w:cs="Arial"/>
          <w:color w:val="auto"/>
        </w:rPr>
      </w:pPr>
      <w:bookmarkStart w:id="37" w:name="_Toc113549383"/>
      <w:r>
        <w:rPr>
          <w:rFonts w:ascii="Arial" w:hAnsi="Arial" w:cs="Arial"/>
          <w:color w:val="auto"/>
        </w:rPr>
        <w:t>11.1</w:t>
      </w:r>
      <w:r>
        <w:rPr>
          <w:rFonts w:ascii="Arial" w:hAnsi="Arial" w:cs="Arial"/>
          <w:color w:val="auto"/>
        </w:rPr>
        <w:tab/>
      </w:r>
      <w:r w:rsidRPr="00B6638E">
        <w:rPr>
          <w:rFonts w:ascii="Arial" w:hAnsi="Arial" w:cs="Arial"/>
          <w:color w:val="auto"/>
        </w:rPr>
        <w:t>Absolute Discretion</w:t>
      </w:r>
      <w:bookmarkEnd w:id="37"/>
    </w:p>
    <w:p w14:paraId="5B39C3BE" w14:textId="77777777" w:rsidR="00B6638E" w:rsidRPr="00B6638E" w:rsidRDefault="00B6638E" w:rsidP="00B6638E">
      <w:pPr>
        <w:rPr>
          <w:rFonts w:ascii="Arial" w:hAnsi="Arial" w:cs="Arial"/>
        </w:rPr>
      </w:pPr>
      <w:r w:rsidRPr="00B6638E">
        <w:rPr>
          <w:rFonts w:ascii="Arial" w:hAnsi="Arial" w:cs="Arial"/>
        </w:rPr>
        <w:t>The Department’s decisions on all matters pertaining to the award of grant funding under this Program is at the Department’s absolute discretion. This includes approving a lesser amount than that applied for and amending funding conditions without notice.</w:t>
      </w:r>
    </w:p>
    <w:p w14:paraId="52173A0C" w14:textId="77777777" w:rsidR="00B6638E" w:rsidRPr="00B6638E" w:rsidRDefault="00B6638E" w:rsidP="00B6638E">
      <w:pPr>
        <w:rPr>
          <w:rFonts w:ascii="Arial" w:hAnsi="Arial" w:cs="Arial"/>
        </w:rPr>
      </w:pPr>
      <w:r w:rsidRPr="00B6638E">
        <w:rPr>
          <w:rFonts w:ascii="Arial" w:hAnsi="Arial" w:cs="Arial"/>
        </w:rPr>
        <w:t>The Department reserves the right to request the applicant provide further information should it be deemed necessary.</w:t>
      </w:r>
    </w:p>
    <w:p w14:paraId="601AB905" w14:textId="77777777" w:rsidR="00B6638E" w:rsidRPr="00B6638E" w:rsidRDefault="00B6638E" w:rsidP="00B6638E">
      <w:pPr>
        <w:rPr>
          <w:rFonts w:ascii="Arial" w:hAnsi="Arial" w:cs="Arial"/>
        </w:rPr>
      </w:pPr>
      <w:r w:rsidRPr="00B6638E">
        <w:rPr>
          <w:rFonts w:ascii="Arial" w:hAnsi="Arial" w:cs="Arial"/>
        </w:rPr>
        <w:t>The Department reserves the right to amend these guidelines and the application terms at any time as it deems appropriate.</w:t>
      </w:r>
    </w:p>
    <w:p w14:paraId="689FCF7F" w14:textId="2C1B2D12" w:rsidR="00B6638E" w:rsidRPr="00B6638E" w:rsidRDefault="00B6638E" w:rsidP="00B6638E">
      <w:pPr>
        <w:pStyle w:val="Heading1"/>
        <w:rPr>
          <w:rFonts w:ascii="Arial" w:hAnsi="Arial" w:cs="Arial"/>
          <w:color w:val="auto"/>
        </w:rPr>
      </w:pPr>
      <w:bookmarkStart w:id="38" w:name="_Toc113549384"/>
      <w:r w:rsidRPr="00B6638E">
        <w:rPr>
          <w:rFonts w:ascii="Arial" w:hAnsi="Arial" w:cs="Arial"/>
          <w:color w:val="auto"/>
        </w:rPr>
        <w:t>12</w:t>
      </w:r>
      <w:r w:rsidRPr="00B6638E">
        <w:rPr>
          <w:rFonts w:ascii="Arial" w:hAnsi="Arial" w:cs="Arial"/>
          <w:color w:val="auto"/>
        </w:rPr>
        <w:tab/>
        <w:t>Conflict of Interest</w:t>
      </w:r>
      <w:bookmarkEnd w:id="38"/>
    </w:p>
    <w:p w14:paraId="55E832CC" w14:textId="77777777" w:rsidR="00B6638E" w:rsidRPr="00B6638E" w:rsidRDefault="00B6638E" w:rsidP="00B6638E">
      <w:pPr>
        <w:rPr>
          <w:rFonts w:ascii="Arial" w:hAnsi="Arial" w:cs="Arial"/>
        </w:rPr>
      </w:pPr>
      <w:r w:rsidRPr="00B6638E">
        <w:rPr>
          <w:rFonts w:ascii="Arial" w:hAnsi="Arial" w:cs="Arial"/>
        </w:rPr>
        <w:t>A conflict of interest is a situation in which someone in a position of trust or influence has competing professional or personal interests.</w:t>
      </w:r>
    </w:p>
    <w:p w14:paraId="47F19905" w14:textId="77777777" w:rsidR="00B6638E" w:rsidRPr="00B6638E" w:rsidRDefault="00B6638E" w:rsidP="00B6638E">
      <w:pPr>
        <w:rPr>
          <w:rFonts w:ascii="Arial" w:hAnsi="Arial" w:cs="Arial"/>
        </w:rPr>
      </w:pPr>
      <w:r w:rsidRPr="00B6638E">
        <w:rPr>
          <w:rFonts w:ascii="Arial" w:hAnsi="Arial" w:cs="Arial"/>
        </w:rPr>
        <w:t>Applicants must advise the Department of any real or perceived conflict of interest relating to a project for which it has applied for funding.</w:t>
      </w:r>
    </w:p>
    <w:p w14:paraId="3B126960" w14:textId="40985596" w:rsidR="00B6638E" w:rsidRDefault="00B6638E" w:rsidP="00B6638E">
      <w:pPr>
        <w:rPr>
          <w:rFonts w:ascii="Arial" w:hAnsi="Arial" w:cs="Arial"/>
        </w:rPr>
      </w:pPr>
      <w:r w:rsidRPr="00B6638E">
        <w:rPr>
          <w:rFonts w:ascii="Arial" w:hAnsi="Arial" w:cs="Arial"/>
        </w:rPr>
        <w:t>Conflicts of interest for Victorian Government staff will be handled as set out in the Code of Conduct for Victorian Public Service Employees (Section 61) of the Public Administration Act 2004 (Vic).</w:t>
      </w:r>
    </w:p>
    <w:p w14:paraId="4CDD92F3" w14:textId="77777777" w:rsidR="00B6638E" w:rsidRDefault="00B6638E">
      <w:pPr>
        <w:rPr>
          <w:rFonts w:ascii="Arial" w:eastAsiaTheme="majorEastAsia" w:hAnsi="Arial" w:cs="Arial"/>
          <w:sz w:val="32"/>
          <w:szCs w:val="32"/>
        </w:rPr>
      </w:pPr>
      <w:r>
        <w:rPr>
          <w:rFonts w:ascii="Arial" w:hAnsi="Arial" w:cs="Arial"/>
        </w:rPr>
        <w:br w:type="page"/>
      </w:r>
    </w:p>
    <w:p w14:paraId="602C069D" w14:textId="20EAEA35" w:rsidR="00B6638E" w:rsidRDefault="00B6638E" w:rsidP="00B6638E">
      <w:pPr>
        <w:pStyle w:val="Heading1"/>
        <w:rPr>
          <w:rFonts w:ascii="Arial" w:hAnsi="Arial" w:cs="Arial"/>
          <w:color w:val="auto"/>
        </w:rPr>
      </w:pPr>
      <w:bookmarkStart w:id="39" w:name="_Toc113549385"/>
      <w:r>
        <w:rPr>
          <w:rFonts w:ascii="Arial" w:hAnsi="Arial" w:cs="Arial"/>
          <w:color w:val="auto"/>
        </w:rPr>
        <w:lastRenderedPageBreak/>
        <w:t>13</w:t>
      </w:r>
      <w:r>
        <w:rPr>
          <w:rFonts w:ascii="Arial" w:hAnsi="Arial" w:cs="Arial"/>
          <w:color w:val="auto"/>
        </w:rPr>
        <w:tab/>
      </w:r>
      <w:r w:rsidRPr="00B6638E">
        <w:rPr>
          <w:rFonts w:ascii="Arial" w:hAnsi="Arial" w:cs="Arial"/>
          <w:color w:val="auto"/>
        </w:rPr>
        <w:t>Glossary of Terms</w:t>
      </w:r>
      <w:bookmarkEnd w:id="39"/>
    </w:p>
    <w:tbl>
      <w:tblPr>
        <w:tblStyle w:val="TableGrid"/>
        <w:tblW w:w="5000" w:type="pct"/>
        <w:tblLook w:val="04A0" w:firstRow="1" w:lastRow="0" w:firstColumn="1" w:lastColumn="0" w:noHBand="0" w:noVBand="1"/>
      </w:tblPr>
      <w:tblGrid>
        <w:gridCol w:w="1841"/>
        <w:gridCol w:w="7175"/>
      </w:tblGrid>
      <w:tr w:rsidR="00B6638E" w:rsidRPr="00B6638E" w14:paraId="581B0394" w14:textId="77777777" w:rsidTr="00B6638E">
        <w:tc>
          <w:tcPr>
            <w:tcW w:w="1021" w:type="pct"/>
          </w:tcPr>
          <w:p w14:paraId="18D80C88" w14:textId="77777777" w:rsidR="00B6638E" w:rsidRPr="00B6638E" w:rsidRDefault="00B6638E" w:rsidP="007D5EBF">
            <w:pPr>
              <w:pStyle w:val="Tabletitle"/>
              <w:rPr>
                <w:rStyle w:val="Strong"/>
                <w:color w:val="auto"/>
              </w:rPr>
            </w:pPr>
            <w:r w:rsidRPr="00B6638E">
              <w:rPr>
                <w:rStyle w:val="Strong"/>
                <w:color w:val="auto"/>
              </w:rPr>
              <w:t>Term</w:t>
            </w:r>
          </w:p>
        </w:tc>
        <w:tc>
          <w:tcPr>
            <w:tcW w:w="3979" w:type="pct"/>
          </w:tcPr>
          <w:p w14:paraId="33658138" w14:textId="77777777" w:rsidR="00B6638E" w:rsidRPr="00B6638E" w:rsidRDefault="00B6638E" w:rsidP="007D5EBF">
            <w:pPr>
              <w:pStyle w:val="Tabletitle"/>
              <w:rPr>
                <w:rStyle w:val="Strong"/>
                <w:color w:val="auto"/>
              </w:rPr>
            </w:pPr>
            <w:r w:rsidRPr="00B6638E">
              <w:rPr>
                <w:rStyle w:val="Strong"/>
                <w:color w:val="auto"/>
              </w:rPr>
              <w:t>Meaning</w:t>
            </w:r>
          </w:p>
        </w:tc>
      </w:tr>
      <w:tr w:rsidR="00B6638E" w:rsidRPr="00B6638E" w14:paraId="5FE59E33" w14:textId="77777777" w:rsidTr="00B6638E">
        <w:trPr>
          <w:trHeight w:val="11963"/>
        </w:trPr>
        <w:tc>
          <w:tcPr>
            <w:tcW w:w="1021" w:type="pct"/>
          </w:tcPr>
          <w:p w14:paraId="1F65347C" w14:textId="7E975CDF" w:rsidR="00B6638E" w:rsidRPr="00B6638E" w:rsidRDefault="00B6638E" w:rsidP="007D5EBF">
            <w:pPr>
              <w:pStyle w:val="Tabletext"/>
              <w:rPr>
                <w:color w:val="auto"/>
              </w:rPr>
            </w:pPr>
            <w:r w:rsidRPr="00B6638E">
              <w:rPr>
                <w:color w:val="auto"/>
              </w:rPr>
              <w:t>Agriculture</w:t>
            </w:r>
          </w:p>
        </w:tc>
        <w:tc>
          <w:tcPr>
            <w:tcW w:w="3979" w:type="pct"/>
          </w:tcPr>
          <w:p w14:paraId="089B4C39" w14:textId="77777777" w:rsidR="00B6638E" w:rsidRPr="00B6638E" w:rsidRDefault="00B6638E" w:rsidP="007D5EBF">
            <w:pPr>
              <w:pStyle w:val="Tabletext"/>
              <w:rPr>
                <w:color w:val="auto"/>
              </w:rPr>
            </w:pPr>
            <w:r w:rsidRPr="00B6638E">
              <w:rPr>
                <w:color w:val="auto"/>
              </w:rPr>
              <w:t xml:space="preserve">For the purposes of eligibility under the ATTF, ‘Agriculture’ is defined as the primary production and enabling activities involved in the practice of farming to provide food, </w:t>
            </w:r>
            <w:proofErr w:type="gramStart"/>
            <w:r w:rsidRPr="00B6638E">
              <w:rPr>
                <w:color w:val="auto"/>
              </w:rPr>
              <w:t>fibre</w:t>
            </w:r>
            <w:proofErr w:type="gramEnd"/>
            <w:r w:rsidRPr="00B6638E">
              <w:rPr>
                <w:color w:val="auto"/>
              </w:rPr>
              <w:t xml:space="preserve"> and other products.</w:t>
            </w:r>
          </w:p>
          <w:p w14:paraId="48C7CBA5" w14:textId="77777777" w:rsidR="00B6638E" w:rsidRPr="00B6638E" w:rsidRDefault="00B6638E" w:rsidP="007D5EBF">
            <w:pPr>
              <w:pStyle w:val="Tabletext"/>
              <w:rPr>
                <w:color w:val="auto"/>
              </w:rPr>
            </w:pPr>
            <w:r w:rsidRPr="00B6638E">
              <w:rPr>
                <w:color w:val="auto"/>
              </w:rPr>
              <w:t>The ATTF will support projects in the following agriculture industries and their enabling activities.</w:t>
            </w:r>
          </w:p>
          <w:p w14:paraId="33DC67D6" w14:textId="77777777" w:rsidR="00B6638E" w:rsidRPr="00B6638E" w:rsidRDefault="00B6638E" w:rsidP="007D5EBF">
            <w:pPr>
              <w:pStyle w:val="Tabletext"/>
              <w:rPr>
                <w:b/>
                <w:bCs/>
                <w:color w:val="auto"/>
              </w:rPr>
            </w:pPr>
            <w:r w:rsidRPr="00B6638E">
              <w:rPr>
                <w:b/>
                <w:bCs/>
                <w:color w:val="auto"/>
              </w:rPr>
              <w:t>Livestock Management</w:t>
            </w:r>
          </w:p>
          <w:p w14:paraId="29884FFD" w14:textId="77777777" w:rsidR="00B6638E" w:rsidRPr="00B6638E" w:rsidRDefault="00B6638E" w:rsidP="00B6638E">
            <w:pPr>
              <w:pStyle w:val="Tabletext"/>
              <w:numPr>
                <w:ilvl w:val="0"/>
                <w:numId w:val="10"/>
              </w:numPr>
              <w:rPr>
                <w:color w:val="auto"/>
              </w:rPr>
            </w:pPr>
            <w:r w:rsidRPr="00B6638E">
              <w:rPr>
                <w:color w:val="auto"/>
              </w:rPr>
              <w:t>Cattle, dairy, sheep, pigs, poultry, other livestock</w:t>
            </w:r>
          </w:p>
          <w:p w14:paraId="6D716F2E" w14:textId="77777777" w:rsidR="00B6638E" w:rsidRPr="00B6638E" w:rsidRDefault="00B6638E" w:rsidP="00B6638E">
            <w:pPr>
              <w:pStyle w:val="Tabletext"/>
              <w:numPr>
                <w:ilvl w:val="0"/>
                <w:numId w:val="10"/>
              </w:numPr>
              <w:rPr>
                <w:color w:val="auto"/>
              </w:rPr>
            </w:pPr>
            <w:r w:rsidRPr="00B6638E">
              <w:rPr>
                <w:color w:val="auto"/>
              </w:rPr>
              <w:t>Apiary</w:t>
            </w:r>
          </w:p>
          <w:p w14:paraId="33C3227C" w14:textId="77777777" w:rsidR="00B6638E" w:rsidRPr="00B6638E" w:rsidRDefault="00B6638E" w:rsidP="00B6638E">
            <w:pPr>
              <w:pStyle w:val="Tabletext"/>
              <w:numPr>
                <w:ilvl w:val="0"/>
                <w:numId w:val="10"/>
              </w:numPr>
              <w:rPr>
                <w:color w:val="auto"/>
              </w:rPr>
            </w:pPr>
            <w:r w:rsidRPr="00B6638E">
              <w:rPr>
                <w:color w:val="auto"/>
              </w:rPr>
              <w:t>On land aquaculture</w:t>
            </w:r>
          </w:p>
          <w:p w14:paraId="600EC2BD" w14:textId="77777777" w:rsidR="00B6638E" w:rsidRPr="00B6638E" w:rsidRDefault="00B6638E" w:rsidP="007D5EBF">
            <w:pPr>
              <w:pStyle w:val="Tabletext"/>
              <w:rPr>
                <w:b/>
                <w:bCs/>
                <w:color w:val="auto"/>
              </w:rPr>
            </w:pPr>
            <w:r w:rsidRPr="00B6638E">
              <w:rPr>
                <w:b/>
                <w:bCs/>
                <w:color w:val="auto"/>
              </w:rPr>
              <w:t>Land Use and Management</w:t>
            </w:r>
          </w:p>
          <w:p w14:paraId="3151C8BE" w14:textId="77777777" w:rsidR="00B6638E" w:rsidRPr="00B6638E" w:rsidRDefault="00B6638E" w:rsidP="00B6638E">
            <w:pPr>
              <w:pStyle w:val="Tabletext"/>
              <w:numPr>
                <w:ilvl w:val="0"/>
                <w:numId w:val="11"/>
              </w:numPr>
              <w:rPr>
                <w:color w:val="auto"/>
              </w:rPr>
            </w:pPr>
            <w:r w:rsidRPr="00B6638E">
              <w:rPr>
                <w:color w:val="auto"/>
              </w:rPr>
              <w:t>Broadacre Cropping</w:t>
            </w:r>
          </w:p>
          <w:p w14:paraId="298EF312" w14:textId="77777777" w:rsidR="00B6638E" w:rsidRPr="00B6638E" w:rsidRDefault="00B6638E" w:rsidP="00B6638E">
            <w:pPr>
              <w:pStyle w:val="Tabletext"/>
              <w:numPr>
                <w:ilvl w:val="0"/>
                <w:numId w:val="11"/>
              </w:numPr>
              <w:rPr>
                <w:color w:val="auto"/>
              </w:rPr>
            </w:pPr>
            <w:r w:rsidRPr="00B6638E">
              <w:rPr>
                <w:color w:val="auto"/>
              </w:rPr>
              <w:t>Protected cropping (greenhouse horticulture)</w:t>
            </w:r>
          </w:p>
          <w:p w14:paraId="6C0FCF68" w14:textId="77777777" w:rsidR="00B6638E" w:rsidRPr="00B6638E" w:rsidRDefault="00B6638E" w:rsidP="00B6638E">
            <w:pPr>
              <w:pStyle w:val="Tabletext"/>
              <w:numPr>
                <w:ilvl w:val="0"/>
                <w:numId w:val="11"/>
              </w:numPr>
              <w:rPr>
                <w:color w:val="auto"/>
              </w:rPr>
            </w:pPr>
            <w:r w:rsidRPr="00B6638E">
              <w:rPr>
                <w:color w:val="auto"/>
              </w:rPr>
              <w:t>Viticulture (grape growing)</w:t>
            </w:r>
          </w:p>
          <w:p w14:paraId="3594A8C4" w14:textId="77777777" w:rsidR="00B6638E" w:rsidRPr="00B6638E" w:rsidRDefault="00B6638E" w:rsidP="00B6638E">
            <w:pPr>
              <w:pStyle w:val="Tabletext"/>
              <w:numPr>
                <w:ilvl w:val="0"/>
                <w:numId w:val="11"/>
              </w:numPr>
              <w:rPr>
                <w:color w:val="auto"/>
              </w:rPr>
            </w:pPr>
            <w:r w:rsidRPr="00B6638E">
              <w:rPr>
                <w:color w:val="auto"/>
              </w:rPr>
              <w:t>Horticulture (fruit, vegetables, nuts)</w:t>
            </w:r>
          </w:p>
          <w:p w14:paraId="231B34E8" w14:textId="77777777" w:rsidR="00B6638E" w:rsidRPr="00B6638E" w:rsidRDefault="00B6638E" w:rsidP="00B6638E">
            <w:pPr>
              <w:pStyle w:val="Tabletext"/>
              <w:numPr>
                <w:ilvl w:val="0"/>
                <w:numId w:val="11"/>
              </w:numPr>
              <w:rPr>
                <w:color w:val="auto"/>
              </w:rPr>
            </w:pPr>
            <w:r w:rsidRPr="00B6638E">
              <w:rPr>
                <w:color w:val="auto"/>
              </w:rPr>
              <w:t>Fungiculture</w:t>
            </w:r>
          </w:p>
          <w:p w14:paraId="65C9699E" w14:textId="77777777" w:rsidR="00B6638E" w:rsidRPr="00B6638E" w:rsidRDefault="00B6638E" w:rsidP="00B6638E">
            <w:pPr>
              <w:pStyle w:val="Tabletext"/>
              <w:numPr>
                <w:ilvl w:val="0"/>
                <w:numId w:val="11"/>
              </w:numPr>
              <w:rPr>
                <w:color w:val="auto"/>
              </w:rPr>
            </w:pPr>
            <w:r w:rsidRPr="00B6638E">
              <w:rPr>
                <w:color w:val="auto"/>
              </w:rPr>
              <w:t>Nurseries</w:t>
            </w:r>
          </w:p>
          <w:p w14:paraId="7AE5BB38" w14:textId="77777777" w:rsidR="00B6638E" w:rsidRPr="00B6638E" w:rsidRDefault="00B6638E" w:rsidP="00B6638E">
            <w:pPr>
              <w:pStyle w:val="Tabletext"/>
              <w:numPr>
                <w:ilvl w:val="0"/>
                <w:numId w:val="11"/>
              </w:numPr>
              <w:rPr>
                <w:color w:val="auto"/>
              </w:rPr>
            </w:pPr>
            <w:r w:rsidRPr="00B6638E">
              <w:rPr>
                <w:color w:val="auto"/>
              </w:rPr>
              <w:t>Irrigation</w:t>
            </w:r>
          </w:p>
          <w:p w14:paraId="5A4C57F7" w14:textId="77777777" w:rsidR="00B6638E" w:rsidRPr="00B6638E" w:rsidRDefault="00B6638E" w:rsidP="00B6638E">
            <w:pPr>
              <w:pStyle w:val="Tabletext"/>
              <w:numPr>
                <w:ilvl w:val="0"/>
                <w:numId w:val="11"/>
              </w:numPr>
              <w:rPr>
                <w:color w:val="auto"/>
              </w:rPr>
            </w:pPr>
            <w:r w:rsidRPr="00B6638E">
              <w:rPr>
                <w:color w:val="auto"/>
              </w:rPr>
              <w:t>Permaculture</w:t>
            </w:r>
          </w:p>
          <w:p w14:paraId="3DD78C0D" w14:textId="77777777" w:rsidR="00B6638E" w:rsidRPr="00B6638E" w:rsidRDefault="00B6638E" w:rsidP="00B6638E">
            <w:pPr>
              <w:pStyle w:val="Tabletext"/>
              <w:numPr>
                <w:ilvl w:val="0"/>
                <w:numId w:val="11"/>
              </w:numPr>
              <w:rPr>
                <w:color w:val="auto"/>
              </w:rPr>
            </w:pPr>
            <w:r w:rsidRPr="00B6638E">
              <w:rPr>
                <w:color w:val="auto"/>
              </w:rPr>
              <w:t>Natural resource management</w:t>
            </w:r>
          </w:p>
          <w:p w14:paraId="1124A917" w14:textId="77777777" w:rsidR="00B6638E" w:rsidRPr="00B6638E" w:rsidRDefault="00B6638E" w:rsidP="00B6638E">
            <w:pPr>
              <w:pStyle w:val="Tabletext"/>
              <w:numPr>
                <w:ilvl w:val="0"/>
                <w:numId w:val="11"/>
              </w:numPr>
              <w:rPr>
                <w:color w:val="auto"/>
              </w:rPr>
            </w:pPr>
            <w:r w:rsidRPr="00B6638E">
              <w:rPr>
                <w:color w:val="auto"/>
              </w:rPr>
              <w:t>Bush Food production</w:t>
            </w:r>
          </w:p>
          <w:p w14:paraId="46778D14" w14:textId="77777777" w:rsidR="00B6638E" w:rsidRPr="00B6638E" w:rsidRDefault="00B6638E" w:rsidP="00B6638E">
            <w:pPr>
              <w:pStyle w:val="Tabletext"/>
              <w:numPr>
                <w:ilvl w:val="0"/>
                <w:numId w:val="11"/>
              </w:numPr>
              <w:rPr>
                <w:color w:val="auto"/>
              </w:rPr>
            </w:pPr>
            <w:r w:rsidRPr="00B6638E">
              <w:rPr>
                <w:color w:val="auto"/>
              </w:rPr>
              <w:t>Cultural Land Management</w:t>
            </w:r>
          </w:p>
          <w:p w14:paraId="736C1B2B" w14:textId="77777777" w:rsidR="00B6638E" w:rsidRPr="00B6638E" w:rsidRDefault="00B6638E" w:rsidP="007D5EBF">
            <w:pPr>
              <w:pStyle w:val="Tabletext"/>
              <w:rPr>
                <w:b/>
                <w:bCs/>
                <w:color w:val="auto"/>
              </w:rPr>
            </w:pPr>
            <w:r w:rsidRPr="00B6638E">
              <w:rPr>
                <w:b/>
                <w:bCs/>
                <w:color w:val="auto"/>
              </w:rPr>
              <w:t>Enabling Activities</w:t>
            </w:r>
          </w:p>
          <w:p w14:paraId="155B37D6" w14:textId="77777777" w:rsidR="00B6638E" w:rsidRPr="00B6638E" w:rsidRDefault="00B6638E" w:rsidP="00B6638E">
            <w:pPr>
              <w:pStyle w:val="Tabletext"/>
              <w:numPr>
                <w:ilvl w:val="0"/>
                <w:numId w:val="12"/>
              </w:numPr>
              <w:rPr>
                <w:color w:val="auto"/>
              </w:rPr>
            </w:pPr>
            <w:r w:rsidRPr="00B6638E">
              <w:rPr>
                <w:color w:val="auto"/>
              </w:rPr>
              <w:t>Pest and disease management</w:t>
            </w:r>
          </w:p>
          <w:p w14:paraId="6779BFEB" w14:textId="77777777" w:rsidR="00B6638E" w:rsidRPr="00B6638E" w:rsidRDefault="00B6638E" w:rsidP="00B6638E">
            <w:pPr>
              <w:pStyle w:val="Tabletext"/>
              <w:numPr>
                <w:ilvl w:val="0"/>
                <w:numId w:val="12"/>
              </w:numPr>
              <w:rPr>
                <w:color w:val="auto"/>
              </w:rPr>
            </w:pPr>
            <w:r w:rsidRPr="00B6638E">
              <w:rPr>
                <w:color w:val="auto"/>
              </w:rPr>
              <w:t>Shearing and wool handling</w:t>
            </w:r>
          </w:p>
          <w:p w14:paraId="44C47688" w14:textId="77777777" w:rsidR="00B6638E" w:rsidRPr="00B6638E" w:rsidRDefault="00B6638E" w:rsidP="00B6638E">
            <w:pPr>
              <w:pStyle w:val="Tabletext"/>
              <w:numPr>
                <w:ilvl w:val="0"/>
                <w:numId w:val="12"/>
              </w:numPr>
              <w:rPr>
                <w:color w:val="auto"/>
              </w:rPr>
            </w:pPr>
            <w:r w:rsidRPr="00B6638E">
              <w:rPr>
                <w:color w:val="auto"/>
              </w:rPr>
              <w:t>Agronomy</w:t>
            </w:r>
          </w:p>
          <w:p w14:paraId="40042948" w14:textId="77777777" w:rsidR="00B6638E" w:rsidRPr="00B6638E" w:rsidRDefault="00B6638E" w:rsidP="00B6638E">
            <w:pPr>
              <w:pStyle w:val="Tabletext"/>
              <w:numPr>
                <w:ilvl w:val="0"/>
                <w:numId w:val="12"/>
              </w:numPr>
              <w:rPr>
                <w:color w:val="auto"/>
              </w:rPr>
            </w:pPr>
            <w:r w:rsidRPr="00B6638E">
              <w:rPr>
                <w:color w:val="auto"/>
              </w:rPr>
              <w:t>Rural machinery operations including servicing and support for emerging needs in robotics</w:t>
            </w:r>
            <w:r w:rsidRPr="00B6638E">
              <w:rPr>
                <w:rStyle w:val="FootnoteReference"/>
                <w:color w:val="auto"/>
              </w:rPr>
              <w:footnoteReference w:id="4"/>
            </w:r>
          </w:p>
          <w:p w14:paraId="7AB07BE1" w14:textId="77777777" w:rsidR="00B6638E" w:rsidRPr="00B6638E" w:rsidRDefault="00B6638E" w:rsidP="00B6638E">
            <w:pPr>
              <w:pStyle w:val="Tabletext"/>
              <w:numPr>
                <w:ilvl w:val="0"/>
                <w:numId w:val="12"/>
              </w:numPr>
              <w:rPr>
                <w:color w:val="auto"/>
              </w:rPr>
            </w:pPr>
            <w:r w:rsidRPr="00B6638E">
              <w:rPr>
                <w:color w:val="auto"/>
              </w:rPr>
              <w:t>AgTech (</w:t>
            </w:r>
            <w:proofErr w:type="gramStart"/>
            <w:r w:rsidRPr="00B6638E">
              <w:rPr>
                <w:color w:val="auto"/>
              </w:rPr>
              <w:t>e.g.</w:t>
            </w:r>
            <w:proofErr w:type="gramEnd"/>
            <w:r w:rsidRPr="00B6638E">
              <w:rPr>
                <w:color w:val="auto"/>
              </w:rPr>
              <w:t xml:space="preserve"> digital technologies and using the data derived from them)</w:t>
            </w:r>
          </w:p>
          <w:p w14:paraId="5F8D66F0" w14:textId="77777777" w:rsidR="00B6638E" w:rsidRPr="00B6638E" w:rsidRDefault="00B6638E" w:rsidP="00B6638E">
            <w:pPr>
              <w:pStyle w:val="Tabletext"/>
              <w:numPr>
                <w:ilvl w:val="0"/>
                <w:numId w:val="12"/>
              </w:numPr>
              <w:rPr>
                <w:color w:val="auto"/>
              </w:rPr>
            </w:pPr>
            <w:r w:rsidRPr="00B6638E">
              <w:rPr>
                <w:color w:val="auto"/>
              </w:rPr>
              <w:t>Agriculture-related elements of the circular economy (</w:t>
            </w:r>
            <w:proofErr w:type="gramStart"/>
            <w:r w:rsidRPr="00B6638E">
              <w:rPr>
                <w:color w:val="auto"/>
              </w:rPr>
              <w:t>e.g.</w:t>
            </w:r>
            <w:proofErr w:type="gramEnd"/>
            <w:r w:rsidRPr="00B6638E">
              <w:rPr>
                <w:color w:val="auto"/>
              </w:rPr>
              <w:t xml:space="preserve"> organic waste recycling, renewable energy on farms)</w:t>
            </w:r>
          </w:p>
          <w:p w14:paraId="4EB2FD4C" w14:textId="77777777" w:rsidR="00B6638E" w:rsidRPr="00B6638E" w:rsidRDefault="00B6638E" w:rsidP="00B6638E">
            <w:pPr>
              <w:pStyle w:val="Tabletext"/>
              <w:numPr>
                <w:ilvl w:val="0"/>
                <w:numId w:val="12"/>
              </w:numPr>
              <w:rPr>
                <w:color w:val="auto"/>
              </w:rPr>
            </w:pPr>
            <w:r w:rsidRPr="00B6638E">
              <w:rPr>
                <w:color w:val="auto"/>
              </w:rPr>
              <w:t>Agribusiness</w:t>
            </w:r>
          </w:p>
          <w:p w14:paraId="43AC2CF8" w14:textId="77777777" w:rsidR="00B6638E" w:rsidRPr="00B6638E" w:rsidRDefault="00B6638E" w:rsidP="00B6638E">
            <w:pPr>
              <w:pStyle w:val="Tabletext"/>
              <w:numPr>
                <w:ilvl w:val="0"/>
                <w:numId w:val="12"/>
              </w:numPr>
              <w:rPr>
                <w:color w:val="auto"/>
              </w:rPr>
            </w:pPr>
            <w:r w:rsidRPr="00B6638E">
              <w:rPr>
                <w:color w:val="auto"/>
              </w:rPr>
              <w:t>Farm accounting and business planning including financial literacy, human resources management and succession planning</w:t>
            </w:r>
          </w:p>
          <w:p w14:paraId="3F45F033" w14:textId="77777777" w:rsidR="00B6638E" w:rsidRPr="00B6638E" w:rsidRDefault="00B6638E" w:rsidP="00B6638E">
            <w:pPr>
              <w:pStyle w:val="Tabletext"/>
              <w:numPr>
                <w:ilvl w:val="0"/>
                <w:numId w:val="12"/>
              </w:numPr>
              <w:rPr>
                <w:color w:val="auto"/>
              </w:rPr>
            </w:pPr>
            <w:r w:rsidRPr="00B6638E">
              <w:rPr>
                <w:color w:val="auto"/>
              </w:rPr>
              <w:t xml:space="preserve">Farm workplace, </w:t>
            </w:r>
            <w:proofErr w:type="gramStart"/>
            <w:r w:rsidRPr="00B6638E">
              <w:rPr>
                <w:color w:val="auto"/>
              </w:rPr>
              <w:t>health</w:t>
            </w:r>
            <w:proofErr w:type="gramEnd"/>
            <w:r w:rsidRPr="00B6638E">
              <w:rPr>
                <w:color w:val="auto"/>
              </w:rPr>
              <w:t xml:space="preserve"> and safety</w:t>
            </w:r>
          </w:p>
          <w:p w14:paraId="791CA0A7" w14:textId="77777777" w:rsidR="00B6638E" w:rsidRPr="00B6638E" w:rsidRDefault="00B6638E" w:rsidP="00B6638E">
            <w:pPr>
              <w:pStyle w:val="Tabletext"/>
              <w:numPr>
                <w:ilvl w:val="0"/>
                <w:numId w:val="12"/>
              </w:numPr>
              <w:rPr>
                <w:color w:val="auto"/>
              </w:rPr>
            </w:pPr>
            <w:r w:rsidRPr="00B6638E">
              <w:rPr>
                <w:color w:val="auto"/>
              </w:rPr>
              <w:t>Extension services</w:t>
            </w:r>
          </w:p>
          <w:p w14:paraId="5A4C157C" w14:textId="77777777" w:rsidR="00B6638E" w:rsidRPr="00B6638E" w:rsidRDefault="00B6638E" w:rsidP="00B6638E">
            <w:pPr>
              <w:pStyle w:val="Tabletext"/>
              <w:numPr>
                <w:ilvl w:val="0"/>
                <w:numId w:val="12"/>
              </w:numPr>
              <w:rPr>
                <w:color w:val="auto"/>
              </w:rPr>
            </w:pPr>
            <w:r w:rsidRPr="00B6638E">
              <w:rPr>
                <w:color w:val="auto"/>
              </w:rPr>
              <w:t>Agriculture supply chain logistics</w:t>
            </w:r>
          </w:p>
          <w:p w14:paraId="2826C765" w14:textId="77777777" w:rsidR="00B6638E" w:rsidRPr="00B6638E" w:rsidRDefault="00B6638E" w:rsidP="00B6638E">
            <w:pPr>
              <w:pStyle w:val="Tabletext"/>
              <w:numPr>
                <w:ilvl w:val="0"/>
                <w:numId w:val="12"/>
              </w:numPr>
              <w:rPr>
                <w:color w:val="auto"/>
              </w:rPr>
            </w:pPr>
            <w:r w:rsidRPr="00B6638E">
              <w:rPr>
                <w:color w:val="auto"/>
              </w:rPr>
              <w:t>Primary and secondary food processing (</w:t>
            </w:r>
            <w:proofErr w:type="gramStart"/>
            <w:r w:rsidRPr="00B6638E">
              <w:rPr>
                <w:color w:val="auto"/>
              </w:rPr>
              <w:t>e.g.</w:t>
            </w:r>
            <w:proofErr w:type="gramEnd"/>
            <w:r w:rsidRPr="00B6638E">
              <w:rPr>
                <w:color w:val="auto"/>
              </w:rPr>
              <w:t xml:space="preserve"> dried vine fruit, meat processing, dairy, wine making) as a minor focus of a proposed project (less than 25 per cent and linked to primary production)</w:t>
            </w:r>
            <w:r w:rsidRPr="00B6638E">
              <w:rPr>
                <w:rStyle w:val="FootnoteReference"/>
                <w:color w:val="auto"/>
              </w:rPr>
              <w:footnoteReference w:id="5"/>
            </w:r>
          </w:p>
          <w:p w14:paraId="72BC43A2" w14:textId="77777777" w:rsidR="00B6638E" w:rsidRPr="00B6638E" w:rsidRDefault="00B6638E" w:rsidP="00B6638E">
            <w:pPr>
              <w:pStyle w:val="Tabletext"/>
              <w:rPr>
                <w:b/>
                <w:bCs/>
                <w:color w:val="auto"/>
              </w:rPr>
            </w:pPr>
            <w:r w:rsidRPr="00B6638E">
              <w:rPr>
                <w:b/>
                <w:bCs/>
                <w:color w:val="auto"/>
              </w:rPr>
              <w:t>Not included</w:t>
            </w:r>
          </w:p>
          <w:p w14:paraId="3B7B84CE" w14:textId="77777777" w:rsidR="00B6638E" w:rsidRPr="00B6638E" w:rsidRDefault="00B6638E" w:rsidP="00B6638E">
            <w:pPr>
              <w:pStyle w:val="Tabletext"/>
              <w:numPr>
                <w:ilvl w:val="0"/>
                <w:numId w:val="17"/>
              </w:numPr>
              <w:rPr>
                <w:color w:val="auto"/>
              </w:rPr>
            </w:pPr>
            <w:r w:rsidRPr="00B6638E">
              <w:rPr>
                <w:color w:val="auto"/>
              </w:rPr>
              <w:t>Forestry</w:t>
            </w:r>
          </w:p>
          <w:p w14:paraId="0CA29C7E" w14:textId="77777777" w:rsidR="00B6638E" w:rsidRPr="00B6638E" w:rsidRDefault="00B6638E" w:rsidP="00B6638E">
            <w:pPr>
              <w:pStyle w:val="Tabletext"/>
              <w:numPr>
                <w:ilvl w:val="0"/>
                <w:numId w:val="17"/>
              </w:numPr>
              <w:rPr>
                <w:color w:val="auto"/>
              </w:rPr>
            </w:pPr>
            <w:r w:rsidRPr="00B6638E">
              <w:rPr>
                <w:color w:val="auto"/>
              </w:rPr>
              <w:t>Off-shore aquaculture</w:t>
            </w:r>
          </w:p>
          <w:p w14:paraId="555A5674" w14:textId="77777777" w:rsidR="00B6638E" w:rsidRPr="00B6638E" w:rsidRDefault="00B6638E" w:rsidP="00B6638E">
            <w:pPr>
              <w:pStyle w:val="Tabletext"/>
              <w:numPr>
                <w:ilvl w:val="0"/>
                <w:numId w:val="17"/>
              </w:numPr>
              <w:rPr>
                <w:color w:val="auto"/>
              </w:rPr>
            </w:pPr>
            <w:r w:rsidRPr="00B6638E">
              <w:rPr>
                <w:color w:val="auto"/>
              </w:rPr>
              <w:t>Non-food related processing (</w:t>
            </w:r>
            <w:proofErr w:type="gramStart"/>
            <w:r w:rsidRPr="00B6638E">
              <w:rPr>
                <w:color w:val="auto"/>
              </w:rPr>
              <w:t>e.g.</w:t>
            </w:r>
            <w:proofErr w:type="gramEnd"/>
            <w:r w:rsidRPr="00B6638E">
              <w:rPr>
                <w:color w:val="auto"/>
              </w:rPr>
              <w:t xml:space="preserve"> leather, cloth, carpets)</w:t>
            </w:r>
          </w:p>
          <w:p w14:paraId="33E128C3" w14:textId="05B38154" w:rsidR="00B6638E" w:rsidRPr="00B6638E" w:rsidRDefault="00B6638E" w:rsidP="00B6638E">
            <w:pPr>
              <w:pStyle w:val="Tabletext"/>
              <w:numPr>
                <w:ilvl w:val="0"/>
                <w:numId w:val="17"/>
              </w:numPr>
              <w:rPr>
                <w:color w:val="auto"/>
              </w:rPr>
            </w:pPr>
            <w:r w:rsidRPr="00B6638E">
              <w:rPr>
                <w:color w:val="auto"/>
              </w:rPr>
              <w:t>Tertiary food processing/processed foods</w:t>
            </w:r>
          </w:p>
        </w:tc>
      </w:tr>
      <w:tr w:rsidR="00B6638E" w:rsidRPr="00B6638E" w14:paraId="72C56D41" w14:textId="77777777" w:rsidTr="00B6638E">
        <w:tc>
          <w:tcPr>
            <w:tcW w:w="1021" w:type="pct"/>
          </w:tcPr>
          <w:p w14:paraId="4BA7F385" w14:textId="77777777" w:rsidR="00B6638E" w:rsidRPr="00B6638E" w:rsidRDefault="00B6638E" w:rsidP="007D5EBF">
            <w:pPr>
              <w:pStyle w:val="Tabletext"/>
              <w:rPr>
                <w:color w:val="auto"/>
              </w:rPr>
            </w:pPr>
            <w:r w:rsidRPr="00B6638E">
              <w:rPr>
                <w:color w:val="auto"/>
              </w:rPr>
              <w:lastRenderedPageBreak/>
              <w:t>Agriculture skills development pipeline</w:t>
            </w:r>
          </w:p>
        </w:tc>
        <w:tc>
          <w:tcPr>
            <w:tcW w:w="3979" w:type="pct"/>
          </w:tcPr>
          <w:p w14:paraId="053620FE" w14:textId="77777777" w:rsidR="00B6638E" w:rsidRPr="00B6638E" w:rsidRDefault="00B6638E" w:rsidP="007D5EBF">
            <w:pPr>
              <w:pStyle w:val="Tabletext"/>
              <w:rPr>
                <w:color w:val="auto"/>
              </w:rPr>
            </w:pPr>
            <w:r w:rsidRPr="00B6638E">
              <w:rPr>
                <w:color w:val="auto"/>
              </w:rPr>
              <w:t xml:space="preserve">The agriculture skills development pipeline or system is defined as the interconnected organisations, institutions, </w:t>
            </w:r>
            <w:proofErr w:type="gramStart"/>
            <w:r w:rsidRPr="00B6638E">
              <w:rPr>
                <w:color w:val="auto"/>
              </w:rPr>
              <w:t>relationships</w:t>
            </w:r>
            <w:proofErr w:type="gramEnd"/>
            <w:r w:rsidRPr="00B6638E">
              <w:rPr>
                <w:color w:val="auto"/>
              </w:rPr>
              <w:t xml:space="preserve"> and pathways for moving students into careers in agriculture and upskilling the existing agriculture workforce. This includes schools, vocational education and training, higher </w:t>
            </w:r>
            <w:proofErr w:type="gramStart"/>
            <w:r w:rsidRPr="00B6638E">
              <w:rPr>
                <w:color w:val="auto"/>
              </w:rPr>
              <w:t>education</w:t>
            </w:r>
            <w:proofErr w:type="gramEnd"/>
            <w:r w:rsidRPr="00B6638E">
              <w:rPr>
                <w:color w:val="auto"/>
              </w:rPr>
              <w:t xml:space="preserve"> and other training providers, including industry-based training.</w:t>
            </w:r>
          </w:p>
          <w:p w14:paraId="089C646D" w14:textId="77777777" w:rsidR="00B6638E" w:rsidRPr="00B6638E" w:rsidRDefault="00B6638E" w:rsidP="007D5EBF">
            <w:pPr>
              <w:pStyle w:val="Tabletext"/>
              <w:rPr>
                <w:color w:val="auto"/>
              </w:rPr>
            </w:pPr>
            <w:r w:rsidRPr="00B6638E">
              <w:rPr>
                <w:color w:val="auto"/>
              </w:rPr>
              <w:t>Projects funded through this program are required to demonstrate connectivity across the system</w:t>
            </w:r>
          </w:p>
        </w:tc>
      </w:tr>
      <w:tr w:rsidR="00B6638E" w:rsidRPr="00B6638E" w14:paraId="225B5F34" w14:textId="77777777" w:rsidTr="00B6638E">
        <w:tc>
          <w:tcPr>
            <w:tcW w:w="1021" w:type="pct"/>
          </w:tcPr>
          <w:p w14:paraId="1AFD57A4" w14:textId="77777777" w:rsidR="00B6638E" w:rsidRPr="00B6638E" w:rsidRDefault="00B6638E" w:rsidP="007D5EBF">
            <w:pPr>
              <w:pStyle w:val="Tabletext"/>
              <w:rPr>
                <w:color w:val="auto"/>
              </w:rPr>
            </w:pPr>
            <w:r w:rsidRPr="00B6638E">
              <w:rPr>
                <w:color w:val="auto"/>
              </w:rPr>
              <w:t>Innovation</w:t>
            </w:r>
          </w:p>
        </w:tc>
        <w:tc>
          <w:tcPr>
            <w:tcW w:w="3979" w:type="pct"/>
          </w:tcPr>
          <w:p w14:paraId="04180054" w14:textId="77777777" w:rsidR="00B6638E" w:rsidRPr="00B6638E" w:rsidRDefault="00B6638E" w:rsidP="007D5EBF">
            <w:pPr>
              <w:pStyle w:val="Tabletext"/>
              <w:rPr>
                <w:color w:val="auto"/>
              </w:rPr>
            </w:pPr>
            <w:r w:rsidRPr="00B6638E">
              <w:rPr>
                <w:color w:val="auto"/>
              </w:rPr>
              <w:t>Innovation describes change within the organisation regarding what is being delivered and how it is being delivered. Innovation is change that adds value and moves agriculture training delivery toward meeting future skills needs, through:</w:t>
            </w:r>
          </w:p>
          <w:p w14:paraId="27D15083" w14:textId="77777777" w:rsidR="00B6638E" w:rsidRPr="00B6638E" w:rsidRDefault="00B6638E" w:rsidP="00B6638E">
            <w:pPr>
              <w:pStyle w:val="Tabletext"/>
              <w:numPr>
                <w:ilvl w:val="0"/>
                <w:numId w:val="13"/>
              </w:numPr>
              <w:rPr>
                <w:color w:val="auto"/>
              </w:rPr>
            </w:pPr>
            <w:r w:rsidRPr="00B6638E">
              <w:rPr>
                <w:color w:val="auto"/>
              </w:rPr>
              <w:t>introducing new or diverse concepts, models, services, and products</w:t>
            </w:r>
          </w:p>
          <w:p w14:paraId="240A7BB2" w14:textId="77777777" w:rsidR="00B6638E" w:rsidRPr="00B6638E" w:rsidRDefault="00B6638E" w:rsidP="00B6638E">
            <w:pPr>
              <w:pStyle w:val="Tabletext"/>
              <w:numPr>
                <w:ilvl w:val="0"/>
                <w:numId w:val="13"/>
              </w:numPr>
              <w:rPr>
                <w:color w:val="auto"/>
              </w:rPr>
            </w:pPr>
            <w:r w:rsidRPr="00B6638E">
              <w:rPr>
                <w:color w:val="auto"/>
              </w:rPr>
              <w:t>disrupting, challenging, and advancing existing practices for our future workforces</w:t>
            </w:r>
          </w:p>
          <w:p w14:paraId="413827CB" w14:textId="77777777" w:rsidR="00B6638E" w:rsidRPr="00B6638E" w:rsidRDefault="00B6638E" w:rsidP="00B6638E">
            <w:pPr>
              <w:pStyle w:val="Tabletext"/>
              <w:numPr>
                <w:ilvl w:val="0"/>
                <w:numId w:val="13"/>
              </w:numPr>
              <w:rPr>
                <w:color w:val="auto"/>
              </w:rPr>
            </w:pPr>
            <w:r w:rsidRPr="00B6638E">
              <w:rPr>
                <w:color w:val="auto"/>
              </w:rPr>
              <w:t>enriching the learner experience</w:t>
            </w:r>
          </w:p>
        </w:tc>
      </w:tr>
      <w:tr w:rsidR="00B6638E" w:rsidRPr="00B6638E" w14:paraId="4864EF7D" w14:textId="77777777" w:rsidTr="00B6638E">
        <w:tc>
          <w:tcPr>
            <w:tcW w:w="1021" w:type="pct"/>
          </w:tcPr>
          <w:p w14:paraId="26601A2B" w14:textId="77777777" w:rsidR="00B6638E" w:rsidRPr="00B6638E" w:rsidRDefault="00B6638E" w:rsidP="007D5EBF">
            <w:pPr>
              <w:pStyle w:val="Tabletext"/>
              <w:rPr>
                <w:color w:val="auto"/>
              </w:rPr>
            </w:pPr>
            <w:r w:rsidRPr="00B6638E">
              <w:rPr>
                <w:color w:val="auto"/>
              </w:rPr>
              <w:t>Learn Local</w:t>
            </w:r>
          </w:p>
        </w:tc>
        <w:tc>
          <w:tcPr>
            <w:tcW w:w="3979" w:type="pct"/>
          </w:tcPr>
          <w:p w14:paraId="4FD8BA03" w14:textId="77777777" w:rsidR="00B6638E" w:rsidRPr="00B6638E" w:rsidRDefault="00B6638E" w:rsidP="007D5EBF">
            <w:pPr>
              <w:pStyle w:val="Tabletext"/>
              <w:rPr>
                <w:color w:val="auto"/>
              </w:rPr>
            </w:pPr>
            <w:r w:rsidRPr="00B6638E">
              <w:rPr>
                <w:color w:val="auto"/>
              </w:rPr>
              <w:t xml:space="preserve">Registered Learn Local providers deliver education and training programs to a broad range of Victorians who are above compulsory school age and who are seeking to gain the educational capacity and core skills they need for study, </w:t>
            </w:r>
            <w:proofErr w:type="gramStart"/>
            <w:r w:rsidRPr="00B6638E">
              <w:rPr>
                <w:color w:val="auto"/>
              </w:rPr>
              <w:t>work</w:t>
            </w:r>
            <w:proofErr w:type="gramEnd"/>
            <w:r w:rsidRPr="00B6638E">
              <w:rPr>
                <w:color w:val="auto"/>
              </w:rPr>
              <w:t xml:space="preserve"> and life. Learn Local providers are all not-for-profit community organisations that focus on the individual needs of learners and the flexibility to meet their learning needs. Additional information on Learn Locals is available at www.vic.gov.au/learn-local-sector</w:t>
            </w:r>
          </w:p>
        </w:tc>
      </w:tr>
      <w:tr w:rsidR="00B6638E" w:rsidRPr="00B6638E" w14:paraId="2DF9FD8D" w14:textId="77777777" w:rsidTr="00B6638E">
        <w:tc>
          <w:tcPr>
            <w:tcW w:w="1021" w:type="pct"/>
          </w:tcPr>
          <w:p w14:paraId="6344658D" w14:textId="77777777" w:rsidR="00B6638E" w:rsidRPr="00B6638E" w:rsidRDefault="00B6638E" w:rsidP="007D5EBF">
            <w:pPr>
              <w:pStyle w:val="Tabletext"/>
              <w:rPr>
                <w:color w:val="auto"/>
              </w:rPr>
            </w:pPr>
            <w:r w:rsidRPr="00B6638E">
              <w:rPr>
                <w:color w:val="auto"/>
              </w:rPr>
              <w:t>Legacy plan</w:t>
            </w:r>
          </w:p>
        </w:tc>
        <w:tc>
          <w:tcPr>
            <w:tcW w:w="3979" w:type="pct"/>
          </w:tcPr>
          <w:p w14:paraId="51F8B594" w14:textId="77777777" w:rsidR="00B6638E" w:rsidRPr="00B6638E" w:rsidRDefault="00B6638E" w:rsidP="007D5EBF">
            <w:pPr>
              <w:pStyle w:val="Tabletext"/>
              <w:rPr>
                <w:color w:val="auto"/>
              </w:rPr>
            </w:pPr>
            <w:r w:rsidRPr="00B6638E">
              <w:rPr>
                <w:color w:val="auto"/>
              </w:rPr>
              <w:t>This is the strategy that will be undertaken to ensure the benefits of a proposed project will endure once the project is completed. Legacy planning includes</w:t>
            </w:r>
          </w:p>
          <w:p w14:paraId="4D5AC30F" w14:textId="77777777" w:rsidR="00B6638E" w:rsidRPr="00B6638E" w:rsidRDefault="00B6638E" w:rsidP="007D5EBF">
            <w:pPr>
              <w:pStyle w:val="Tabletext"/>
              <w:rPr>
                <w:color w:val="auto"/>
              </w:rPr>
            </w:pPr>
            <w:r w:rsidRPr="00B6638E">
              <w:rPr>
                <w:color w:val="auto"/>
              </w:rPr>
              <w:t>all elements required for a sustained benefit - financial, staff retention and capability, equipment lifecycle and more. Project proposals are required to include sound legacy planning.</w:t>
            </w:r>
          </w:p>
        </w:tc>
      </w:tr>
      <w:tr w:rsidR="00B6638E" w:rsidRPr="00B6638E" w14:paraId="4C8A30EF" w14:textId="77777777" w:rsidTr="00B6638E">
        <w:tc>
          <w:tcPr>
            <w:tcW w:w="1021" w:type="pct"/>
          </w:tcPr>
          <w:p w14:paraId="6A80E1A9" w14:textId="77777777" w:rsidR="00B6638E" w:rsidRPr="00B6638E" w:rsidRDefault="00B6638E" w:rsidP="007D5EBF">
            <w:pPr>
              <w:pStyle w:val="Tabletext"/>
              <w:rPr>
                <w:color w:val="auto"/>
              </w:rPr>
            </w:pPr>
            <w:r w:rsidRPr="00B6638E">
              <w:rPr>
                <w:color w:val="auto"/>
              </w:rPr>
              <w:t>Skills First Registered Training Organisations</w:t>
            </w:r>
          </w:p>
        </w:tc>
        <w:tc>
          <w:tcPr>
            <w:tcW w:w="3979" w:type="pct"/>
          </w:tcPr>
          <w:p w14:paraId="6D5E0F9F" w14:textId="77777777" w:rsidR="00B6638E" w:rsidRPr="00B6638E" w:rsidRDefault="00B6638E" w:rsidP="007D5EBF">
            <w:pPr>
              <w:pStyle w:val="Tabletext"/>
              <w:rPr>
                <w:color w:val="auto"/>
              </w:rPr>
            </w:pPr>
            <w:r w:rsidRPr="00B6638E">
              <w:rPr>
                <w:color w:val="auto"/>
              </w:rPr>
              <w:t xml:space="preserve">Skills First training providers are those that have </w:t>
            </w:r>
            <w:proofErr w:type="gramStart"/>
            <w:r w:rsidRPr="00B6638E">
              <w:rPr>
                <w:color w:val="auto"/>
              </w:rPr>
              <w:t>entered into</w:t>
            </w:r>
            <w:proofErr w:type="gramEnd"/>
            <w:r w:rsidRPr="00B6638E">
              <w:rPr>
                <w:color w:val="auto"/>
              </w:rPr>
              <w:t xml:space="preserve"> a VET Funding Contract with the Victorian Government and have committed to providing high quality training that aligns with industry and community demands and workforce needs. Additional information on Skills First is available at www.vic.gov.au/skills-first</w:t>
            </w:r>
          </w:p>
        </w:tc>
      </w:tr>
      <w:tr w:rsidR="00B6638E" w:rsidRPr="00B6638E" w14:paraId="1288E4B4" w14:textId="77777777" w:rsidTr="00B6638E">
        <w:tc>
          <w:tcPr>
            <w:tcW w:w="1021" w:type="pct"/>
          </w:tcPr>
          <w:p w14:paraId="6C84297F" w14:textId="77777777" w:rsidR="00B6638E" w:rsidRPr="00B6638E" w:rsidRDefault="00B6638E" w:rsidP="007D5EBF">
            <w:pPr>
              <w:pStyle w:val="Tabletext"/>
              <w:rPr>
                <w:color w:val="auto"/>
              </w:rPr>
            </w:pPr>
            <w:r w:rsidRPr="00B6638E">
              <w:rPr>
                <w:color w:val="auto"/>
              </w:rPr>
              <w:t>Training</w:t>
            </w:r>
          </w:p>
        </w:tc>
        <w:tc>
          <w:tcPr>
            <w:tcW w:w="3979" w:type="pct"/>
          </w:tcPr>
          <w:p w14:paraId="2538E3D3" w14:textId="77777777" w:rsidR="00B6638E" w:rsidRPr="00B6638E" w:rsidRDefault="00B6638E" w:rsidP="007D5EBF">
            <w:pPr>
              <w:pStyle w:val="Tabletext"/>
              <w:rPr>
                <w:color w:val="auto"/>
              </w:rPr>
            </w:pPr>
            <w:r w:rsidRPr="00B6638E">
              <w:rPr>
                <w:color w:val="auto"/>
              </w:rPr>
              <w:t>Training in this program can include pre-accredited, non-accredited, accredited, skillsets and micro-credentials. Proposals need to describe how the training fits in the broader skills development pipeline.</w:t>
            </w:r>
          </w:p>
        </w:tc>
      </w:tr>
    </w:tbl>
    <w:p w14:paraId="1D75C094" w14:textId="77777777" w:rsidR="00B6638E" w:rsidRDefault="00B6638E" w:rsidP="00B6638E">
      <w:pPr>
        <w:rPr>
          <w:rFonts w:ascii="Arial" w:hAnsi="Arial" w:cs="Arial"/>
        </w:rPr>
      </w:pPr>
    </w:p>
    <w:p w14:paraId="29B69DA7" w14:textId="49699CBF" w:rsidR="00B6638E" w:rsidRPr="00B6638E" w:rsidRDefault="00B6638E" w:rsidP="00B6638E">
      <w:pPr>
        <w:rPr>
          <w:rFonts w:ascii="Arial" w:hAnsi="Arial" w:cs="Arial"/>
        </w:rPr>
      </w:pPr>
      <w:r w:rsidRPr="00B6638E">
        <w:rPr>
          <w:rFonts w:ascii="Arial" w:hAnsi="Arial" w:cs="Arial"/>
        </w:rPr>
        <w:t>Published by Agriculture Victoria Department of Jobs, Precincts and Regions</w:t>
      </w:r>
    </w:p>
    <w:p w14:paraId="5DCAC70A" w14:textId="77777777" w:rsidR="00B6638E" w:rsidRPr="00B6638E" w:rsidRDefault="00B6638E" w:rsidP="00B6638E">
      <w:pPr>
        <w:rPr>
          <w:rFonts w:ascii="Arial" w:hAnsi="Arial" w:cs="Arial"/>
        </w:rPr>
      </w:pPr>
      <w:r w:rsidRPr="00B6638E">
        <w:rPr>
          <w:rFonts w:ascii="Arial" w:hAnsi="Arial" w:cs="Arial"/>
        </w:rPr>
        <w:t>1 Spring Street Melbourne, Victoria 3000</w:t>
      </w:r>
    </w:p>
    <w:p w14:paraId="4742AD63" w14:textId="77777777" w:rsidR="00B6638E" w:rsidRPr="00B6638E" w:rsidRDefault="00B6638E" w:rsidP="00B6638E">
      <w:pPr>
        <w:rPr>
          <w:rFonts w:ascii="Arial" w:hAnsi="Arial" w:cs="Arial"/>
        </w:rPr>
      </w:pPr>
      <w:r w:rsidRPr="00B6638E">
        <w:rPr>
          <w:rFonts w:ascii="Arial" w:hAnsi="Arial" w:cs="Arial"/>
        </w:rPr>
        <w:t>Telephone 1300 502 656</w:t>
      </w:r>
    </w:p>
    <w:p w14:paraId="6402983D" w14:textId="77777777" w:rsidR="00B6638E" w:rsidRPr="00B6638E" w:rsidRDefault="00B6638E" w:rsidP="00B6638E">
      <w:pPr>
        <w:rPr>
          <w:rFonts w:ascii="Arial" w:hAnsi="Arial" w:cs="Arial"/>
        </w:rPr>
      </w:pPr>
      <w:r w:rsidRPr="00B6638E">
        <w:rPr>
          <w:rFonts w:ascii="Arial" w:hAnsi="Arial" w:cs="Arial"/>
        </w:rPr>
        <w:t>© Copyright State Government of Victoria 2022</w:t>
      </w:r>
    </w:p>
    <w:p w14:paraId="52973DDE" w14:textId="77777777" w:rsidR="00B6638E" w:rsidRPr="00B6638E" w:rsidRDefault="00B6638E" w:rsidP="00B6638E">
      <w:pPr>
        <w:rPr>
          <w:rFonts w:ascii="Arial" w:hAnsi="Arial" w:cs="Arial"/>
        </w:rPr>
      </w:pPr>
      <w:r w:rsidRPr="00B6638E">
        <w:rPr>
          <w:rFonts w:ascii="Arial" w:hAnsi="Arial" w:cs="Arial"/>
        </w:rPr>
        <w:t>This publication is copyright. No part may be reproduced by any process except in accordance with provisions of the Copyright Act 1968. Authorised by the Victorian Government, Melbourne.</w:t>
      </w:r>
    </w:p>
    <w:p w14:paraId="0F2D4219" w14:textId="77777777" w:rsidR="00B6638E" w:rsidRPr="00B6638E" w:rsidRDefault="00B6638E" w:rsidP="00B6638E">
      <w:pPr>
        <w:rPr>
          <w:rFonts w:ascii="Arial" w:hAnsi="Arial" w:cs="Arial"/>
        </w:rPr>
      </w:pPr>
      <w:r w:rsidRPr="00B6638E">
        <w:rPr>
          <w:rFonts w:ascii="Arial" w:hAnsi="Arial" w:cs="Arial"/>
        </w:rPr>
        <w:t>If you would like to receive this publication in an accessible format, such as large print, audio or in another language, please call Agriculture Victoria on 1300 502 656, email customer.service@ecodev.vic.gov.au or go to www.agriculture.vic.gov.au.</w:t>
      </w:r>
    </w:p>
    <w:p w14:paraId="564D6164" w14:textId="77777777" w:rsidR="00B6638E" w:rsidRPr="00B6638E" w:rsidRDefault="00B6638E" w:rsidP="00B6638E">
      <w:pPr>
        <w:rPr>
          <w:rFonts w:ascii="Arial" w:hAnsi="Arial" w:cs="Arial"/>
        </w:rPr>
      </w:pPr>
      <w:r w:rsidRPr="00B6638E">
        <w:rPr>
          <w:rFonts w:ascii="Arial" w:hAnsi="Arial" w:cs="Arial"/>
        </w:rPr>
        <w:t>Disclaimer</w:t>
      </w:r>
    </w:p>
    <w:p w14:paraId="719E2EE3" w14:textId="77777777" w:rsidR="00B6638E" w:rsidRPr="00B6638E" w:rsidRDefault="00B6638E" w:rsidP="00B6638E">
      <w:pPr>
        <w:rPr>
          <w:rFonts w:ascii="Arial" w:hAnsi="Arial" w:cs="Arial"/>
        </w:rPr>
      </w:pPr>
      <w:r w:rsidRPr="00B6638E">
        <w:rPr>
          <w:rFonts w:ascii="Arial" w:hAnsi="Arial" w:cs="Arial"/>
        </w:rPr>
        <w:t xml:space="preserve">This publication may be of assistance to </w:t>
      </w:r>
      <w:proofErr w:type="gramStart"/>
      <w:r w:rsidRPr="00B6638E">
        <w:rPr>
          <w:rFonts w:ascii="Arial" w:hAnsi="Arial" w:cs="Arial"/>
        </w:rPr>
        <w:t>you</w:t>
      </w:r>
      <w:proofErr w:type="gramEnd"/>
      <w:r w:rsidRPr="00B6638E">
        <w:rPr>
          <w:rFonts w:ascii="Arial" w:hAnsi="Arial" w:cs="Arial"/>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F26A12D" w14:textId="20901B1E" w:rsidR="008223B9" w:rsidRPr="00B6638E" w:rsidRDefault="00B6638E" w:rsidP="00B6638E">
      <w:pPr>
        <w:rPr>
          <w:rFonts w:ascii="Arial" w:hAnsi="Arial" w:cs="Arial"/>
        </w:rPr>
      </w:pPr>
      <w:r w:rsidRPr="00B6638E">
        <w:rPr>
          <w:rFonts w:ascii="Arial" w:hAnsi="Arial" w:cs="Arial"/>
        </w:rPr>
        <w:t>For more information about Agriculture Victoria go to www.agriculture.vic.gov.au or call the Customer Service Centre on 1300 502 656.</w:t>
      </w:r>
    </w:p>
    <w:sectPr w:rsidR="008223B9" w:rsidRPr="00B6638E" w:rsidSect="00B6638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5F90" w14:textId="77777777" w:rsidR="00624C92" w:rsidRDefault="00624C92" w:rsidP="008223B9">
      <w:pPr>
        <w:spacing w:after="0" w:line="240" w:lineRule="auto"/>
      </w:pPr>
      <w:r>
        <w:separator/>
      </w:r>
    </w:p>
  </w:endnote>
  <w:endnote w:type="continuationSeparator" w:id="0">
    <w:p w14:paraId="311ACF28" w14:textId="77777777" w:rsidR="00624C92" w:rsidRDefault="00624C92" w:rsidP="008223B9">
      <w:pPr>
        <w:spacing w:after="0" w:line="240" w:lineRule="auto"/>
      </w:pPr>
      <w:r>
        <w:continuationSeparator/>
      </w:r>
    </w:p>
  </w:endnote>
  <w:endnote w:type="continuationNotice" w:id="1">
    <w:p w14:paraId="45522EAE" w14:textId="77777777" w:rsidR="00A41C8C" w:rsidRDefault="00A41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425" w14:textId="77777777" w:rsidR="00016820" w:rsidRDefault="0001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7F3D" w14:textId="4F6DFD0F" w:rsidR="00016820" w:rsidRDefault="00016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7EF" w14:textId="77777777" w:rsidR="00016820" w:rsidRDefault="0001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E4DB" w14:textId="77777777" w:rsidR="00624C92" w:rsidRDefault="00624C92" w:rsidP="008223B9">
      <w:pPr>
        <w:spacing w:after="0" w:line="240" w:lineRule="auto"/>
      </w:pPr>
      <w:r>
        <w:separator/>
      </w:r>
    </w:p>
  </w:footnote>
  <w:footnote w:type="continuationSeparator" w:id="0">
    <w:p w14:paraId="7E7F1A8C" w14:textId="77777777" w:rsidR="00624C92" w:rsidRDefault="00624C92" w:rsidP="008223B9">
      <w:pPr>
        <w:spacing w:after="0" w:line="240" w:lineRule="auto"/>
      </w:pPr>
      <w:r>
        <w:continuationSeparator/>
      </w:r>
    </w:p>
  </w:footnote>
  <w:footnote w:type="continuationNotice" w:id="1">
    <w:p w14:paraId="0805B397" w14:textId="77777777" w:rsidR="00A41C8C" w:rsidRDefault="00A41C8C">
      <w:pPr>
        <w:spacing w:after="0" w:line="240" w:lineRule="auto"/>
      </w:pPr>
    </w:p>
  </w:footnote>
  <w:footnote w:id="2">
    <w:p w14:paraId="68A30860" w14:textId="77777777" w:rsidR="008223B9" w:rsidRPr="008223B9" w:rsidRDefault="008223B9" w:rsidP="008223B9">
      <w:pPr>
        <w:pStyle w:val="FootnoteText"/>
        <w:rPr>
          <w:color w:val="auto"/>
        </w:rPr>
      </w:pPr>
      <w:r w:rsidRPr="008223B9">
        <w:rPr>
          <w:rStyle w:val="FootnoteReference"/>
          <w:color w:val="auto"/>
        </w:rPr>
        <w:footnoteRef/>
      </w:r>
      <w:r w:rsidRPr="008223B9">
        <w:rPr>
          <w:color w:val="auto"/>
        </w:rPr>
        <w:t xml:space="preserve"> Projects may be delivered outside of Victoria, such as through online delivery or at border communities, but must demonstrate the benefit to Victoria.</w:t>
      </w:r>
    </w:p>
  </w:footnote>
  <w:footnote w:id="3">
    <w:p w14:paraId="51854B00" w14:textId="4E4E9011" w:rsidR="008223B9" w:rsidRPr="008223B9" w:rsidRDefault="008223B9" w:rsidP="008223B9">
      <w:pPr>
        <w:pStyle w:val="FootnoteText"/>
        <w:rPr>
          <w:color w:val="auto"/>
        </w:rPr>
      </w:pPr>
      <w:r w:rsidRPr="008223B9">
        <w:rPr>
          <w:rStyle w:val="FootnoteReference"/>
          <w:color w:val="auto"/>
        </w:rPr>
        <w:footnoteRef/>
      </w:r>
      <w:r w:rsidRPr="008223B9">
        <w:rPr>
          <w:color w:val="auto"/>
        </w:rPr>
        <w:t xml:space="preserve"> Examples include: Victorian TAFE Association; Victorian Agriculture, Horticulture and Conservation and Land Management Trainers Network; VET Development Centre; Career Education Association of Victoria; Independent Tertiary Education Council of Australia</w:t>
      </w:r>
    </w:p>
  </w:footnote>
  <w:footnote w:id="4">
    <w:p w14:paraId="28BA9912" w14:textId="77777777" w:rsidR="00B6638E" w:rsidRPr="00B6638E" w:rsidRDefault="00B6638E" w:rsidP="00B6638E">
      <w:pPr>
        <w:pStyle w:val="FootnoteText"/>
        <w:rPr>
          <w:color w:val="auto"/>
          <w:sz w:val="16"/>
          <w:szCs w:val="16"/>
        </w:rPr>
      </w:pPr>
      <w:r w:rsidRPr="00B6638E">
        <w:rPr>
          <w:rStyle w:val="FootnoteReference"/>
          <w:color w:val="auto"/>
        </w:rPr>
        <w:footnoteRef/>
      </w:r>
      <w:r w:rsidRPr="00B6638E">
        <w:rPr>
          <w:color w:val="auto"/>
        </w:rPr>
        <w:t xml:space="preserve"> </w:t>
      </w:r>
      <w:r w:rsidRPr="00B6638E">
        <w:rPr>
          <w:color w:val="auto"/>
          <w:sz w:val="16"/>
          <w:szCs w:val="16"/>
        </w:rPr>
        <w:t>The application will need to clearly outline how the project will be contextualised for agriculture to ensure the training meets the needs of the agriculture sector rather than other rural industry sectors.</w:t>
      </w:r>
    </w:p>
  </w:footnote>
  <w:footnote w:id="5">
    <w:p w14:paraId="198F0C8D" w14:textId="3996A164" w:rsidR="00B6638E" w:rsidRPr="00B6638E" w:rsidRDefault="00B6638E" w:rsidP="00B6638E">
      <w:pPr>
        <w:pStyle w:val="FootnoteText"/>
        <w:rPr>
          <w:color w:val="auto"/>
        </w:rPr>
      </w:pPr>
      <w:r w:rsidRPr="00B6638E">
        <w:rPr>
          <w:rStyle w:val="FootnoteReference"/>
          <w:color w:val="auto"/>
        </w:rPr>
        <w:footnoteRef/>
      </w:r>
      <w:r w:rsidRPr="00B6638E">
        <w:rPr>
          <w:color w:val="auto"/>
        </w:rPr>
        <w:t xml:space="preserve"> </w:t>
      </w:r>
      <w:r w:rsidRPr="00B6638E">
        <w:rPr>
          <w:color w:val="auto"/>
          <w:sz w:val="16"/>
          <w:szCs w:val="16"/>
        </w:rPr>
        <w:t>Food processing content that is proposed to be included as a part of a project proposal must be less than 25 per cent of the course content and project costs. The processing content must be linked to primary production (e.g. grape growing linked to wine making; barley and hops production linked to brewing; goat production linked to processing of meat or cheese; growing pomegranates linked to seed 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8139" w14:textId="77777777" w:rsidR="00016820" w:rsidRDefault="0001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E904" w14:textId="080A44CB" w:rsidR="00016820" w:rsidRDefault="00016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7595" w14:textId="77777777" w:rsidR="00016820" w:rsidRDefault="0001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51D"/>
    <w:multiLevelType w:val="hybridMultilevel"/>
    <w:tmpl w:val="4CAE4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53E62"/>
    <w:multiLevelType w:val="hybridMultilevel"/>
    <w:tmpl w:val="0DB66F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4541A5"/>
    <w:multiLevelType w:val="hybridMultilevel"/>
    <w:tmpl w:val="2A78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01EC2"/>
    <w:multiLevelType w:val="hybridMultilevel"/>
    <w:tmpl w:val="4440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92AE4"/>
    <w:multiLevelType w:val="hybridMultilevel"/>
    <w:tmpl w:val="291A1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1085C44">
      <w:start w:val="5"/>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A61A3"/>
    <w:multiLevelType w:val="hybridMultilevel"/>
    <w:tmpl w:val="3828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32D19"/>
    <w:multiLevelType w:val="hybridMultilevel"/>
    <w:tmpl w:val="B8786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D1299"/>
    <w:multiLevelType w:val="hybridMultilevel"/>
    <w:tmpl w:val="36FE2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573E8"/>
    <w:multiLevelType w:val="hybridMultilevel"/>
    <w:tmpl w:val="A2425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606C64"/>
    <w:multiLevelType w:val="hybridMultilevel"/>
    <w:tmpl w:val="AB22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0D3F8D"/>
    <w:multiLevelType w:val="hybridMultilevel"/>
    <w:tmpl w:val="9B7C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D30BBB"/>
    <w:multiLevelType w:val="hybridMultilevel"/>
    <w:tmpl w:val="7DA47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E328A8"/>
    <w:multiLevelType w:val="hybridMultilevel"/>
    <w:tmpl w:val="F0825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C75474"/>
    <w:multiLevelType w:val="hybridMultilevel"/>
    <w:tmpl w:val="0E8C581C"/>
    <w:lvl w:ilvl="0" w:tplc="50D0CFF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911E3E"/>
    <w:multiLevelType w:val="hybridMultilevel"/>
    <w:tmpl w:val="2A5C6852"/>
    <w:lvl w:ilvl="0" w:tplc="0C09000F">
      <w:start w:val="1"/>
      <w:numFmt w:val="decimal"/>
      <w:lvlText w:val="%1."/>
      <w:lvlJc w:val="left"/>
      <w:pPr>
        <w:ind w:left="720" w:hanging="360"/>
      </w:pPr>
    </w:lvl>
    <w:lvl w:ilvl="1" w:tplc="6CE06274">
      <w:start w:val="5"/>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5F0274"/>
    <w:multiLevelType w:val="hybridMultilevel"/>
    <w:tmpl w:val="87AAF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B359BF"/>
    <w:multiLevelType w:val="hybridMultilevel"/>
    <w:tmpl w:val="E01C1998"/>
    <w:lvl w:ilvl="0" w:tplc="3A228EE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
  </w:num>
  <w:num w:numId="3">
    <w:abstractNumId w:val="4"/>
  </w:num>
  <w:num w:numId="4">
    <w:abstractNumId w:val="9"/>
  </w:num>
  <w:num w:numId="5">
    <w:abstractNumId w:val="11"/>
  </w:num>
  <w:num w:numId="6">
    <w:abstractNumId w:val="5"/>
  </w:num>
  <w:num w:numId="7">
    <w:abstractNumId w:val="7"/>
  </w:num>
  <w:num w:numId="8">
    <w:abstractNumId w:val="8"/>
  </w:num>
  <w:num w:numId="9">
    <w:abstractNumId w:val="14"/>
  </w:num>
  <w:num w:numId="10">
    <w:abstractNumId w:val="2"/>
  </w:num>
  <w:num w:numId="11">
    <w:abstractNumId w:val="6"/>
  </w:num>
  <w:num w:numId="12">
    <w:abstractNumId w:val="15"/>
  </w:num>
  <w:num w:numId="13">
    <w:abstractNumId w:val="10"/>
  </w:num>
  <w:num w:numId="14">
    <w:abstractNumId w:val="3"/>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9"/>
    <w:rsid w:val="00016820"/>
    <w:rsid w:val="000C7369"/>
    <w:rsid w:val="000D2F92"/>
    <w:rsid w:val="000E0802"/>
    <w:rsid w:val="004353CE"/>
    <w:rsid w:val="00471B54"/>
    <w:rsid w:val="00556104"/>
    <w:rsid w:val="00624C92"/>
    <w:rsid w:val="00694AB8"/>
    <w:rsid w:val="008223B9"/>
    <w:rsid w:val="00891D29"/>
    <w:rsid w:val="00A41C8C"/>
    <w:rsid w:val="00B6638E"/>
    <w:rsid w:val="00DD11DC"/>
    <w:rsid w:val="00E05710"/>
    <w:rsid w:val="00F021FB"/>
    <w:rsid w:val="00F21493"/>
    <w:rsid w:val="00F60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45723"/>
  <w15:chartTrackingRefBased/>
  <w15:docId w15:val="{596527D3-A71D-4771-AA63-BAB6ACBF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3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2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3B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223B9"/>
    <w:rPr>
      <w:color w:val="44546A" w:themeColor="text2"/>
      <w:u w:val="single"/>
    </w:rPr>
  </w:style>
  <w:style w:type="paragraph" w:styleId="ListParagraph">
    <w:name w:val="List Paragraph"/>
    <w:basedOn w:val="Normal"/>
    <w:uiPriority w:val="34"/>
    <w:qFormat/>
    <w:rsid w:val="008223B9"/>
    <w:pPr>
      <w:spacing w:before="120" w:after="200" w:line="240" w:lineRule="auto"/>
      <w:ind w:left="720"/>
      <w:contextualSpacing/>
    </w:pPr>
    <w:rPr>
      <w:rFonts w:ascii="Arial" w:eastAsia="Times New Roman" w:hAnsi="Arial" w:cs="Times New Roman"/>
      <w:color w:val="ED7D31" w:themeColor="accent2"/>
      <w:sz w:val="18"/>
      <w:szCs w:val="20"/>
    </w:rPr>
  </w:style>
  <w:style w:type="paragraph" w:styleId="FootnoteText">
    <w:name w:val="footnote text"/>
    <w:basedOn w:val="Normal"/>
    <w:link w:val="FootnoteTextChar"/>
    <w:uiPriority w:val="99"/>
    <w:semiHidden/>
    <w:unhideWhenUsed/>
    <w:rsid w:val="008223B9"/>
    <w:pPr>
      <w:spacing w:after="0" w:line="240" w:lineRule="auto"/>
    </w:pPr>
    <w:rPr>
      <w:rFonts w:ascii="Arial" w:eastAsia="Times New Roman" w:hAnsi="Arial" w:cs="Times New Roman"/>
      <w:color w:val="ED7D31" w:themeColor="accent2"/>
      <w:sz w:val="20"/>
      <w:szCs w:val="20"/>
    </w:rPr>
  </w:style>
  <w:style w:type="character" w:customStyle="1" w:styleId="FootnoteTextChar">
    <w:name w:val="Footnote Text Char"/>
    <w:basedOn w:val="DefaultParagraphFont"/>
    <w:link w:val="FootnoteText"/>
    <w:uiPriority w:val="99"/>
    <w:semiHidden/>
    <w:rsid w:val="008223B9"/>
    <w:rPr>
      <w:rFonts w:ascii="Arial" w:eastAsia="Times New Roman" w:hAnsi="Arial" w:cs="Times New Roman"/>
      <w:color w:val="ED7D31" w:themeColor="accent2"/>
      <w:sz w:val="20"/>
      <w:szCs w:val="20"/>
    </w:rPr>
  </w:style>
  <w:style w:type="character" w:styleId="FootnoteReference">
    <w:name w:val="footnote reference"/>
    <w:basedOn w:val="DefaultParagraphFont"/>
    <w:uiPriority w:val="99"/>
    <w:semiHidden/>
    <w:unhideWhenUsed/>
    <w:rsid w:val="008223B9"/>
    <w:rPr>
      <w:vertAlign w:val="superscript"/>
    </w:rPr>
  </w:style>
  <w:style w:type="table" w:styleId="TableGrid">
    <w:name w:val="Table Grid"/>
    <w:basedOn w:val="TableNormal"/>
    <w:uiPriority w:val="59"/>
    <w:rsid w:val="0082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3B9"/>
    <w:rPr>
      <w:b/>
      <w:bCs/>
    </w:rPr>
  </w:style>
  <w:style w:type="paragraph" w:customStyle="1" w:styleId="Tabletitle">
    <w:name w:val="Table title"/>
    <w:basedOn w:val="Normal"/>
    <w:qFormat/>
    <w:rsid w:val="008223B9"/>
    <w:pPr>
      <w:spacing w:before="60" w:after="60" w:line="240" w:lineRule="auto"/>
    </w:pPr>
    <w:rPr>
      <w:rFonts w:ascii="Arial" w:eastAsia="Times New Roman" w:hAnsi="Arial" w:cs="Times New Roman"/>
      <w:color w:val="FFFFFF" w:themeColor="background1"/>
      <w:sz w:val="18"/>
      <w:szCs w:val="20"/>
    </w:rPr>
  </w:style>
  <w:style w:type="paragraph" w:customStyle="1" w:styleId="Tabletext">
    <w:name w:val="Table text"/>
    <w:basedOn w:val="Normal"/>
    <w:qFormat/>
    <w:rsid w:val="00B6638E"/>
    <w:pPr>
      <w:spacing w:before="60" w:after="60" w:line="240" w:lineRule="auto"/>
    </w:pPr>
    <w:rPr>
      <w:rFonts w:ascii="Arial" w:eastAsia="Times New Roman" w:hAnsi="Arial" w:cs="Times New Roman"/>
      <w:color w:val="ED7D31" w:themeColor="accent2"/>
      <w:sz w:val="18"/>
      <w:szCs w:val="20"/>
    </w:rPr>
  </w:style>
  <w:style w:type="paragraph" w:styleId="TOC1">
    <w:name w:val="toc 1"/>
    <w:basedOn w:val="Normal"/>
    <w:next w:val="Normal"/>
    <w:autoRedefine/>
    <w:uiPriority w:val="39"/>
    <w:unhideWhenUsed/>
    <w:rsid w:val="00016820"/>
    <w:pPr>
      <w:spacing w:after="100"/>
    </w:pPr>
  </w:style>
  <w:style w:type="paragraph" w:styleId="TOC2">
    <w:name w:val="toc 2"/>
    <w:basedOn w:val="Normal"/>
    <w:next w:val="Normal"/>
    <w:autoRedefine/>
    <w:uiPriority w:val="39"/>
    <w:unhideWhenUsed/>
    <w:rsid w:val="00016820"/>
    <w:pPr>
      <w:spacing w:after="100"/>
      <w:ind w:left="220"/>
    </w:pPr>
  </w:style>
  <w:style w:type="paragraph" w:styleId="Header">
    <w:name w:val="header"/>
    <w:basedOn w:val="Normal"/>
    <w:link w:val="HeaderChar"/>
    <w:uiPriority w:val="99"/>
    <w:unhideWhenUsed/>
    <w:rsid w:val="0001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20"/>
  </w:style>
  <w:style w:type="paragraph" w:styleId="Footer">
    <w:name w:val="footer"/>
    <w:basedOn w:val="Normal"/>
    <w:link w:val="FooterChar"/>
    <w:uiPriority w:val="99"/>
    <w:unhideWhenUsed/>
    <w:rsid w:val="0001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c.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griculture.vic.gov.au/agcollegeprogr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illsandsafety@agriculture.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griculture.vic.gov.au/agcollegeprogra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8" ma:contentTypeDescription="DEDJTR Document" ma:contentTypeScope="" ma:versionID="bf1b28dbfb7da18f92178fcc5af6c604">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0692330f9e79422063655c006b4f1211"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lcf76f155ced4ddcb4097134ff3c332f xmlns="343fe9e5-7d2d-4f58-a9bd-2ee4c302f2de">
      <Terms xmlns="http://schemas.microsoft.com/office/infopath/2007/PartnerControls"/>
    </lcf76f155ced4ddcb4097134ff3c332f>
    <TaxCatchAll xmlns="f604978d-ddeb-43c0-8c04-74fdbfaab4ea">
      <Value>4</Value>
      <Value>3</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SharedWithUsers xmlns="f604978d-ddeb-43c0-8c04-74fdbfaab4ea">
      <UserInfo>
        <DisplayName>Claire M Ouna (DJPR)</DisplayName>
        <AccountId>676</AccountId>
        <AccountType/>
      </UserInfo>
      <UserInfo>
        <DisplayName>Jeanette P Chan (DJPR)</DisplayName>
        <AccountId>671</AccountId>
        <AccountType/>
      </UserInfo>
      <UserInfo>
        <DisplayName>Kathryne M Charnas (DJPR)</DisplayName>
        <AccountId>644</AccountId>
        <AccountType/>
      </UserInfo>
    </SharedWithUsers>
  </documentManagement>
</p:properties>
</file>

<file path=customXml/itemProps1.xml><?xml version="1.0" encoding="utf-8"?>
<ds:datastoreItem xmlns:ds="http://schemas.openxmlformats.org/officeDocument/2006/customXml" ds:itemID="{469676DD-6AC3-4659-A95B-1C7B326D8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3049E-8B35-4DA3-858E-9258E7DE3443}">
  <ds:schemaRefs>
    <ds:schemaRef ds:uri="http://schemas.microsoft.com/sharepoint/v3/contenttype/forms"/>
  </ds:schemaRefs>
</ds:datastoreItem>
</file>

<file path=customXml/itemProps3.xml><?xml version="1.0" encoding="utf-8"?>
<ds:datastoreItem xmlns:ds="http://schemas.openxmlformats.org/officeDocument/2006/customXml" ds:itemID="{64DF378D-A317-4130-8B66-78544F2723F7}">
  <ds:schemaRefs>
    <ds:schemaRef ds:uri="http://schemas.microsoft.com/office/2006/metadata/properties"/>
    <ds:schemaRef ds:uri="http://schemas.microsoft.com/office/infopath/2007/PartnerControls"/>
    <ds:schemaRef ds:uri="72567383-1e26-4692-bdad-5f5be69e1590"/>
    <ds:schemaRef ds:uri="343fe9e5-7d2d-4f58-a9bd-2ee4c302f2de"/>
    <ds:schemaRef ds:uri="f604978d-ddeb-43c0-8c04-74fdbfaab4e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5525</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TAFE and Training Fund Guidelines</dc:title>
  <dc:subject/>
  <dc:creator>Kathryne M Charnas (DJPR)</dc:creator>
  <cp:keywords/>
  <dc:description/>
  <cp:lastModifiedBy>Claire M Ouna (DJPR)</cp:lastModifiedBy>
  <cp:revision>5</cp:revision>
  <dcterms:created xsi:type="dcterms:W3CDTF">2022-09-08T06:41:00Z</dcterms:created>
  <dcterms:modified xsi:type="dcterms:W3CDTF">2022-09-16T01:31:00Z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2022-09-08T07:09:51Z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838f2a91-5926-4659-86ac-5f4378619638</vt:lpwstr>
  </property>
  <property fmtid="{D5CDD505-2E9C-101B-9397-08002B2CF9AE}" pid="8" name="MSIP_Label_d00a4df9-c942-4b09-b23a-6c1023f6de27_ContentBits">
    <vt:lpwstr>3</vt:lpwstr>
  </property>
  <property fmtid="{D5CDD505-2E9C-101B-9397-08002B2CF9AE}" pid="9" name="MediaServiceImageTags">
    <vt:lpwstr/>
  </property>
  <property fmtid="{D5CDD505-2E9C-101B-9397-08002B2CF9AE}" pid="10" name="DEDJTRSection">
    <vt:lpwstr/>
  </property>
  <property fmtid="{D5CDD505-2E9C-101B-9397-08002B2CF9AE}" pid="11" name="DEDJTRBranch">
    <vt:lpwstr/>
  </property>
  <property fmtid="{D5CDD505-2E9C-101B-9397-08002B2CF9AE}" pid="12" name="ContentTypeId">
    <vt:lpwstr>0x010100611F6414DFB111E7BA88F9DF1743E3170006733A33F78CBF40B900029B419CFFCD</vt:lpwstr>
  </property>
  <property fmtid="{D5CDD505-2E9C-101B-9397-08002B2CF9AE}" pid="13" name="DEDJTRGroup">
    <vt:lpwstr>3;#Employment Investment and Trade|55ce1999-68b6-4f37-bdce-009ad410cd2a</vt:lpwstr>
  </property>
  <property fmtid="{D5CDD505-2E9C-101B-9397-08002B2CF9AE}" pid="14" name="DEDJTRSecurityClassification">
    <vt:lpwstr/>
  </property>
  <property fmtid="{D5CDD505-2E9C-101B-9397-08002B2CF9AE}" pid="15" name="DEDJTRDivision">
    <vt:lpwstr>4;#Agriculture Victoria|aa595c92-527f-46eb-8130-f23c3634d9e6</vt:lpwstr>
  </property>
</Properties>
</file>