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0312" w14:textId="273AB56C" w:rsidR="00AC6C8D" w:rsidRDefault="002A56A1">
      <w:pPr>
        <w:rPr>
          <w:b/>
          <w:bCs/>
          <w:sz w:val="32"/>
          <w:szCs w:val="32"/>
        </w:rPr>
      </w:pPr>
      <w:r>
        <w:rPr>
          <w:noProof/>
        </w:rPr>
        <w:drawing>
          <wp:anchor distT="0" distB="0" distL="114300" distR="114300" simplePos="0" relativeHeight="251662848" behindDoc="0" locked="0" layoutInCell="1" allowOverlap="1" wp14:anchorId="375334FD" wp14:editId="09A37563">
            <wp:simplePos x="0" y="0"/>
            <wp:positionH relativeFrom="column">
              <wp:posOffset>-344221</wp:posOffset>
            </wp:positionH>
            <wp:positionV relativeFrom="paragraph">
              <wp:posOffset>-778687</wp:posOffset>
            </wp:positionV>
            <wp:extent cx="4495800" cy="314325"/>
            <wp:effectExtent l="0" t="0" r="0" b="952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95800" cy="314325"/>
                    </a:xfrm>
                    <a:prstGeom prst="rect">
                      <a:avLst/>
                    </a:prstGeom>
                  </pic:spPr>
                </pic:pic>
              </a:graphicData>
            </a:graphic>
          </wp:anchor>
        </w:drawing>
      </w:r>
      <w:r w:rsidR="00C76B65">
        <w:rPr>
          <w:noProof/>
        </w:rPr>
        <w:drawing>
          <wp:anchor distT="0" distB="0" distL="114300" distR="114300" simplePos="0" relativeHeight="251660800" behindDoc="0" locked="0" layoutInCell="1" allowOverlap="1" wp14:anchorId="729869CA" wp14:editId="76B46E5C">
            <wp:simplePos x="0" y="0"/>
            <wp:positionH relativeFrom="column">
              <wp:posOffset>-365760</wp:posOffset>
            </wp:positionH>
            <wp:positionV relativeFrom="paragraph">
              <wp:posOffset>-1290650</wp:posOffset>
            </wp:positionV>
            <wp:extent cx="2305050" cy="3810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05050" cy="381000"/>
                    </a:xfrm>
                    <a:prstGeom prst="rect">
                      <a:avLst/>
                    </a:prstGeom>
                  </pic:spPr>
                </pic:pic>
              </a:graphicData>
            </a:graphic>
          </wp:anchor>
        </w:drawing>
      </w:r>
    </w:p>
    <w:sdt>
      <w:sdtPr>
        <w:rPr>
          <w:rFonts w:asciiTheme="minorHAnsi" w:eastAsiaTheme="minorHAnsi" w:hAnsiTheme="minorHAnsi" w:cstheme="minorBidi"/>
          <w:color w:val="auto"/>
          <w:sz w:val="22"/>
          <w:szCs w:val="22"/>
          <w:lang w:val="en-AU"/>
        </w:rPr>
        <w:id w:val="1568454978"/>
        <w:docPartObj>
          <w:docPartGallery w:val="Table of Contents"/>
          <w:docPartUnique/>
        </w:docPartObj>
      </w:sdtPr>
      <w:sdtEndPr>
        <w:rPr>
          <w:b/>
          <w:bCs/>
          <w:noProof/>
        </w:rPr>
      </w:sdtEndPr>
      <w:sdtContent>
        <w:p w14:paraId="3F5EAE37" w14:textId="1981E4FE" w:rsidR="008149C7" w:rsidRDefault="008149C7" w:rsidP="008149C7">
          <w:pPr>
            <w:pStyle w:val="TOCHeading"/>
            <w:rPr>
              <w:b/>
              <w:bCs/>
            </w:rPr>
          </w:pPr>
          <w:r w:rsidRPr="00E30F92">
            <w:rPr>
              <w:b/>
              <w:bCs/>
            </w:rPr>
            <w:t>Contents</w:t>
          </w:r>
          <w:r w:rsidR="002A56A1" w:rsidRPr="002A56A1">
            <w:rPr>
              <w:noProof/>
            </w:rPr>
            <w:t xml:space="preserve"> </w:t>
          </w:r>
        </w:p>
        <w:p w14:paraId="0990A105" w14:textId="77777777" w:rsidR="002002A8" w:rsidRPr="002002A8" w:rsidRDefault="002002A8" w:rsidP="002002A8">
          <w:pPr>
            <w:rPr>
              <w:lang w:val="en-US"/>
            </w:rPr>
          </w:pPr>
        </w:p>
        <w:p w14:paraId="2E4E4D85" w14:textId="50A844F2" w:rsidR="008149C7" w:rsidRDefault="008149C7" w:rsidP="008149C7">
          <w:pPr>
            <w:pStyle w:val="TOC3"/>
            <w:tabs>
              <w:tab w:val="left" w:pos="880"/>
              <w:tab w:val="right" w:leader="dot" w:pos="9016"/>
            </w:tabs>
            <w:rPr>
              <w:rFonts w:eastAsiaTheme="minorEastAsia"/>
              <w:noProof/>
              <w:lang w:eastAsia="en-AU"/>
            </w:rPr>
          </w:pPr>
          <w:r>
            <w:fldChar w:fldCharType="begin"/>
          </w:r>
          <w:r>
            <w:instrText xml:space="preserve"> TOC \o "1-3" \h \z \u </w:instrText>
          </w:r>
          <w:r>
            <w:fldChar w:fldCharType="separate"/>
          </w:r>
          <w:hyperlink w:anchor="_Toc105166747" w:history="1">
            <w:r w:rsidRPr="003331FF">
              <w:rPr>
                <w:rStyle w:val="Hyperlink"/>
                <w:b/>
                <w:bCs/>
                <w:noProof/>
              </w:rPr>
              <w:t>1.</w:t>
            </w:r>
            <w:r>
              <w:rPr>
                <w:rFonts w:eastAsiaTheme="minorEastAsia"/>
                <w:noProof/>
                <w:lang w:eastAsia="en-AU"/>
              </w:rPr>
              <w:tab/>
            </w:r>
            <w:r w:rsidRPr="003331FF">
              <w:rPr>
                <w:rStyle w:val="Hyperlink"/>
                <w:b/>
                <w:bCs/>
                <w:noProof/>
              </w:rPr>
              <w:t>Background</w:t>
            </w:r>
            <w:r>
              <w:rPr>
                <w:noProof/>
                <w:webHidden/>
              </w:rPr>
              <w:tab/>
            </w:r>
            <w:r>
              <w:rPr>
                <w:noProof/>
                <w:webHidden/>
              </w:rPr>
              <w:fldChar w:fldCharType="begin"/>
            </w:r>
            <w:r>
              <w:rPr>
                <w:noProof/>
                <w:webHidden/>
              </w:rPr>
              <w:instrText xml:space="preserve"> PAGEREF _Toc105166747 \h </w:instrText>
            </w:r>
            <w:r>
              <w:rPr>
                <w:noProof/>
                <w:webHidden/>
              </w:rPr>
            </w:r>
            <w:r>
              <w:rPr>
                <w:noProof/>
                <w:webHidden/>
              </w:rPr>
              <w:fldChar w:fldCharType="separate"/>
            </w:r>
            <w:r w:rsidR="006C60E3">
              <w:rPr>
                <w:noProof/>
                <w:webHidden/>
              </w:rPr>
              <w:t>2</w:t>
            </w:r>
            <w:r>
              <w:rPr>
                <w:noProof/>
                <w:webHidden/>
              </w:rPr>
              <w:fldChar w:fldCharType="end"/>
            </w:r>
          </w:hyperlink>
        </w:p>
        <w:p w14:paraId="0D00C37B" w14:textId="3042D1B8" w:rsidR="008149C7" w:rsidRDefault="002D48F1" w:rsidP="008149C7">
          <w:pPr>
            <w:pStyle w:val="TOC3"/>
            <w:tabs>
              <w:tab w:val="left" w:pos="880"/>
              <w:tab w:val="right" w:leader="dot" w:pos="9016"/>
            </w:tabs>
            <w:rPr>
              <w:rFonts w:eastAsiaTheme="minorEastAsia"/>
              <w:noProof/>
              <w:lang w:eastAsia="en-AU"/>
            </w:rPr>
          </w:pPr>
          <w:hyperlink w:anchor="_Toc105166748" w:history="1">
            <w:r w:rsidR="008149C7" w:rsidRPr="003331FF">
              <w:rPr>
                <w:rStyle w:val="Hyperlink"/>
                <w:b/>
                <w:bCs/>
                <w:noProof/>
              </w:rPr>
              <w:t>2.</w:t>
            </w:r>
            <w:r w:rsidR="008149C7">
              <w:rPr>
                <w:rFonts w:eastAsiaTheme="minorEastAsia"/>
                <w:noProof/>
                <w:lang w:eastAsia="en-AU"/>
              </w:rPr>
              <w:tab/>
            </w:r>
            <w:r w:rsidR="008149C7" w:rsidRPr="003331FF">
              <w:rPr>
                <w:rStyle w:val="Hyperlink"/>
                <w:b/>
                <w:bCs/>
                <w:noProof/>
              </w:rPr>
              <w:t>Program objectives</w:t>
            </w:r>
            <w:r w:rsidR="008149C7">
              <w:rPr>
                <w:noProof/>
                <w:webHidden/>
              </w:rPr>
              <w:tab/>
            </w:r>
            <w:r w:rsidR="008149C7">
              <w:rPr>
                <w:noProof/>
                <w:webHidden/>
              </w:rPr>
              <w:fldChar w:fldCharType="begin"/>
            </w:r>
            <w:r w:rsidR="008149C7">
              <w:rPr>
                <w:noProof/>
                <w:webHidden/>
              </w:rPr>
              <w:instrText xml:space="preserve"> PAGEREF _Toc105166748 \h </w:instrText>
            </w:r>
            <w:r w:rsidR="008149C7">
              <w:rPr>
                <w:noProof/>
                <w:webHidden/>
              </w:rPr>
            </w:r>
            <w:r w:rsidR="008149C7">
              <w:rPr>
                <w:noProof/>
                <w:webHidden/>
              </w:rPr>
              <w:fldChar w:fldCharType="separate"/>
            </w:r>
            <w:r w:rsidR="006C60E3">
              <w:rPr>
                <w:noProof/>
                <w:webHidden/>
              </w:rPr>
              <w:t>2</w:t>
            </w:r>
            <w:r w:rsidR="008149C7">
              <w:rPr>
                <w:noProof/>
                <w:webHidden/>
              </w:rPr>
              <w:fldChar w:fldCharType="end"/>
            </w:r>
          </w:hyperlink>
        </w:p>
        <w:p w14:paraId="71580931" w14:textId="299E49C8" w:rsidR="008149C7" w:rsidRDefault="002D48F1" w:rsidP="008149C7">
          <w:pPr>
            <w:pStyle w:val="TOC3"/>
            <w:tabs>
              <w:tab w:val="left" w:pos="880"/>
              <w:tab w:val="right" w:leader="dot" w:pos="9016"/>
            </w:tabs>
            <w:rPr>
              <w:rFonts w:eastAsiaTheme="minorEastAsia"/>
              <w:noProof/>
              <w:lang w:eastAsia="en-AU"/>
            </w:rPr>
          </w:pPr>
          <w:hyperlink w:anchor="_Toc105166749" w:history="1">
            <w:r w:rsidR="008149C7" w:rsidRPr="003331FF">
              <w:rPr>
                <w:rStyle w:val="Hyperlink"/>
                <w:b/>
                <w:bCs/>
                <w:noProof/>
              </w:rPr>
              <w:t>3.</w:t>
            </w:r>
            <w:r w:rsidR="008149C7">
              <w:rPr>
                <w:rFonts w:eastAsiaTheme="minorEastAsia"/>
                <w:noProof/>
                <w:lang w:eastAsia="en-AU"/>
              </w:rPr>
              <w:tab/>
            </w:r>
            <w:r w:rsidR="008149C7" w:rsidRPr="003331FF">
              <w:rPr>
                <w:rStyle w:val="Hyperlink"/>
                <w:b/>
                <w:bCs/>
                <w:noProof/>
              </w:rPr>
              <w:t>Funding</w:t>
            </w:r>
            <w:r w:rsidR="008149C7">
              <w:rPr>
                <w:noProof/>
                <w:webHidden/>
              </w:rPr>
              <w:tab/>
            </w:r>
            <w:r w:rsidR="008149C7">
              <w:rPr>
                <w:noProof/>
                <w:webHidden/>
              </w:rPr>
              <w:fldChar w:fldCharType="begin"/>
            </w:r>
            <w:r w:rsidR="008149C7">
              <w:rPr>
                <w:noProof/>
                <w:webHidden/>
              </w:rPr>
              <w:instrText xml:space="preserve"> PAGEREF _Toc105166749 \h </w:instrText>
            </w:r>
            <w:r w:rsidR="008149C7">
              <w:rPr>
                <w:noProof/>
                <w:webHidden/>
              </w:rPr>
            </w:r>
            <w:r w:rsidR="008149C7">
              <w:rPr>
                <w:noProof/>
                <w:webHidden/>
              </w:rPr>
              <w:fldChar w:fldCharType="separate"/>
            </w:r>
            <w:r w:rsidR="006C60E3">
              <w:rPr>
                <w:noProof/>
                <w:webHidden/>
              </w:rPr>
              <w:t>3</w:t>
            </w:r>
            <w:r w:rsidR="008149C7">
              <w:rPr>
                <w:noProof/>
                <w:webHidden/>
              </w:rPr>
              <w:fldChar w:fldCharType="end"/>
            </w:r>
          </w:hyperlink>
        </w:p>
        <w:p w14:paraId="59658FE4" w14:textId="13DDDB1C" w:rsidR="008149C7" w:rsidRDefault="002D48F1" w:rsidP="008149C7">
          <w:pPr>
            <w:pStyle w:val="TOC3"/>
            <w:tabs>
              <w:tab w:val="left" w:pos="880"/>
              <w:tab w:val="right" w:leader="dot" w:pos="9016"/>
            </w:tabs>
            <w:rPr>
              <w:rFonts w:eastAsiaTheme="minorEastAsia"/>
              <w:noProof/>
              <w:lang w:eastAsia="en-AU"/>
            </w:rPr>
          </w:pPr>
          <w:hyperlink w:anchor="_Toc105166750" w:history="1">
            <w:r w:rsidR="008149C7" w:rsidRPr="003331FF">
              <w:rPr>
                <w:rStyle w:val="Hyperlink"/>
                <w:b/>
                <w:bCs/>
                <w:noProof/>
              </w:rPr>
              <w:t>4.</w:t>
            </w:r>
            <w:r w:rsidR="008149C7">
              <w:rPr>
                <w:rFonts w:eastAsiaTheme="minorEastAsia"/>
                <w:noProof/>
                <w:lang w:eastAsia="en-AU"/>
              </w:rPr>
              <w:tab/>
            </w:r>
            <w:r w:rsidR="008149C7" w:rsidRPr="003331FF">
              <w:rPr>
                <w:rStyle w:val="Hyperlink"/>
                <w:b/>
                <w:bCs/>
                <w:noProof/>
              </w:rPr>
              <w:t>Applicant Eligibility</w:t>
            </w:r>
            <w:r w:rsidR="008149C7">
              <w:rPr>
                <w:noProof/>
                <w:webHidden/>
              </w:rPr>
              <w:tab/>
            </w:r>
            <w:r w:rsidR="008149C7">
              <w:rPr>
                <w:noProof/>
                <w:webHidden/>
              </w:rPr>
              <w:fldChar w:fldCharType="begin"/>
            </w:r>
            <w:r w:rsidR="008149C7">
              <w:rPr>
                <w:noProof/>
                <w:webHidden/>
              </w:rPr>
              <w:instrText xml:space="preserve"> PAGEREF _Toc105166750 \h </w:instrText>
            </w:r>
            <w:r w:rsidR="008149C7">
              <w:rPr>
                <w:noProof/>
                <w:webHidden/>
              </w:rPr>
            </w:r>
            <w:r w:rsidR="008149C7">
              <w:rPr>
                <w:noProof/>
                <w:webHidden/>
              </w:rPr>
              <w:fldChar w:fldCharType="separate"/>
            </w:r>
            <w:r w:rsidR="006C60E3">
              <w:rPr>
                <w:noProof/>
                <w:webHidden/>
              </w:rPr>
              <w:t>4</w:t>
            </w:r>
            <w:r w:rsidR="008149C7">
              <w:rPr>
                <w:noProof/>
                <w:webHidden/>
              </w:rPr>
              <w:fldChar w:fldCharType="end"/>
            </w:r>
          </w:hyperlink>
        </w:p>
        <w:p w14:paraId="284DF7AB" w14:textId="6B41EED3" w:rsidR="008149C7" w:rsidRDefault="002D48F1" w:rsidP="008149C7">
          <w:pPr>
            <w:pStyle w:val="TOC3"/>
            <w:tabs>
              <w:tab w:val="left" w:pos="880"/>
              <w:tab w:val="right" w:leader="dot" w:pos="9016"/>
            </w:tabs>
            <w:rPr>
              <w:rFonts w:eastAsiaTheme="minorEastAsia"/>
              <w:noProof/>
              <w:lang w:eastAsia="en-AU"/>
            </w:rPr>
          </w:pPr>
          <w:hyperlink w:anchor="_Toc105166751" w:history="1">
            <w:r w:rsidR="008149C7" w:rsidRPr="003331FF">
              <w:rPr>
                <w:rStyle w:val="Hyperlink"/>
                <w:b/>
                <w:bCs/>
                <w:noProof/>
              </w:rPr>
              <w:t>5.</w:t>
            </w:r>
            <w:r w:rsidR="008149C7">
              <w:rPr>
                <w:rFonts w:eastAsiaTheme="minorEastAsia"/>
                <w:noProof/>
                <w:lang w:eastAsia="en-AU"/>
              </w:rPr>
              <w:tab/>
            </w:r>
            <w:r w:rsidR="008149C7" w:rsidRPr="003331FF">
              <w:rPr>
                <w:rStyle w:val="Hyperlink"/>
                <w:b/>
                <w:bCs/>
                <w:noProof/>
              </w:rPr>
              <w:t>Eligible projects</w:t>
            </w:r>
            <w:r w:rsidR="008149C7">
              <w:rPr>
                <w:noProof/>
                <w:webHidden/>
              </w:rPr>
              <w:tab/>
            </w:r>
            <w:r w:rsidR="008149C7">
              <w:rPr>
                <w:noProof/>
                <w:webHidden/>
              </w:rPr>
              <w:fldChar w:fldCharType="begin"/>
            </w:r>
            <w:r w:rsidR="008149C7">
              <w:rPr>
                <w:noProof/>
                <w:webHidden/>
              </w:rPr>
              <w:instrText xml:space="preserve"> PAGEREF _Toc105166751 \h </w:instrText>
            </w:r>
            <w:r w:rsidR="008149C7">
              <w:rPr>
                <w:noProof/>
                <w:webHidden/>
              </w:rPr>
            </w:r>
            <w:r w:rsidR="008149C7">
              <w:rPr>
                <w:noProof/>
                <w:webHidden/>
              </w:rPr>
              <w:fldChar w:fldCharType="separate"/>
            </w:r>
            <w:r w:rsidR="006C60E3">
              <w:rPr>
                <w:noProof/>
                <w:webHidden/>
              </w:rPr>
              <w:t>4</w:t>
            </w:r>
            <w:r w:rsidR="008149C7">
              <w:rPr>
                <w:noProof/>
                <w:webHidden/>
              </w:rPr>
              <w:fldChar w:fldCharType="end"/>
            </w:r>
          </w:hyperlink>
        </w:p>
        <w:p w14:paraId="52232CCB" w14:textId="1C2C02B2" w:rsidR="008149C7" w:rsidRDefault="002D48F1" w:rsidP="008149C7">
          <w:pPr>
            <w:pStyle w:val="TOC3"/>
            <w:tabs>
              <w:tab w:val="left" w:pos="880"/>
              <w:tab w:val="right" w:leader="dot" w:pos="9016"/>
            </w:tabs>
            <w:rPr>
              <w:rFonts w:eastAsiaTheme="minorEastAsia"/>
              <w:noProof/>
              <w:lang w:eastAsia="en-AU"/>
            </w:rPr>
          </w:pPr>
          <w:hyperlink w:anchor="_Toc105166752" w:history="1">
            <w:r w:rsidR="008149C7" w:rsidRPr="003331FF">
              <w:rPr>
                <w:rStyle w:val="Hyperlink"/>
                <w:b/>
                <w:bCs/>
                <w:noProof/>
              </w:rPr>
              <w:t>6.</w:t>
            </w:r>
            <w:r w:rsidR="008149C7">
              <w:rPr>
                <w:rFonts w:eastAsiaTheme="minorEastAsia"/>
                <w:noProof/>
                <w:lang w:eastAsia="en-AU"/>
              </w:rPr>
              <w:tab/>
            </w:r>
            <w:r w:rsidR="008149C7" w:rsidRPr="003331FF">
              <w:rPr>
                <w:rStyle w:val="Hyperlink"/>
                <w:b/>
                <w:bCs/>
                <w:noProof/>
              </w:rPr>
              <w:t>Eligible expenditure</w:t>
            </w:r>
            <w:r w:rsidR="008149C7">
              <w:rPr>
                <w:noProof/>
                <w:webHidden/>
              </w:rPr>
              <w:tab/>
            </w:r>
            <w:r w:rsidR="008149C7">
              <w:rPr>
                <w:noProof/>
                <w:webHidden/>
              </w:rPr>
              <w:fldChar w:fldCharType="begin"/>
            </w:r>
            <w:r w:rsidR="008149C7">
              <w:rPr>
                <w:noProof/>
                <w:webHidden/>
              </w:rPr>
              <w:instrText xml:space="preserve"> PAGEREF _Toc105166752 \h </w:instrText>
            </w:r>
            <w:r w:rsidR="008149C7">
              <w:rPr>
                <w:noProof/>
                <w:webHidden/>
              </w:rPr>
            </w:r>
            <w:r w:rsidR="008149C7">
              <w:rPr>
                <w:noProof/>
                <w:webHidden/>
              </w:rPr>
              <w:fldChar w:fldCharType="separate"/>
            </w:r>
            <w:r w:rsidR="006C60E3">
              <w:rPr>
                <w:noProof/>
                <w:webHidden/>
              </w:rPr>
              <w:t>6</w:t>
            </w:r>
            <w:r w:rsidR="008149C7">
              <w:rPr>
                <w:noProof/>
                <w:webHidden/>
              </w:rPr>
              <w:fldChar w:fldCharType="end"/>
            </w:r>
          </w:hyperlink>
        </w:p>
        <w:p w14:paraId="2A7A4123" w14:textId="7C0E351B" w:rsidR="008149C7" w:rsidRDefault="002D48F1" w:rsidP="008149C7">
          <w:pPr>
            <w:pStyle w:val="TOC3"/>
            <w:tabs>
              <w:tab w:val="left" w:pos="880"/>
              <w:tab w:val="right" w:leader="dot" w:pos="9016"/>
            </w:tabs>
            <w:rPr>
              <w:rFonts w:eastAsiaTheme="minorEastAsia"/>
              <w:noProof/>
              <w:lang w:eastAsia="en-AU"/>
            </w:rPr>
          </w:pPr>
          <w:hyperlink w:anchor="_Toc105166754" w:history="1">
            <w:r w:rsidR="008149C7" w:rsidRPr="003331FF">
              <w:rPr>
                <w:rStyle w:val="Hyperlink"/>
                <w:b/>
                <w:bCs/>
                <w:noProof/>
              </w:rPr>
              <w:t>7.</w:t>
            </w:r>
            <w:r w:rsidR="008149C7">
              <w:rPr>
                <w:rFonts w:eastAsiaTheme="minorEastAsia"/>
                <w:noProof/>
                <w:lang w:eastAsia="en-AU"/>
              </w:rPr>
              <w:tab/>
            </w:r>
            <w:r w:rsidR="008149C7" w:rsidRPr="003331FF">
              <w:rPr>
                <w:rStyle w:val="Hyperlink"/>
                <w:b/>
                <w:bCs/>
                <w:noProof/>
              </w:rPr>
              <w:t>Ineligible Expenditure</w:t>
            </w:r>
            <w:r w:rsidR="008149C7">
              <w:rPr>
                <w:noProof/>
                <w:webHidden/>
              </w:rPr>
              <w:tab/>
            </w:r>
            <w:r w:rsidR="008149C7">
              <w:rPr>
                <w:noProof/>
                <w:webHidden/>
              </w:rPr>
              <w:fldChar w:fldCharType="begin"/>
            </w:r>
            <w:r w:rsidR="008149C7">
              <w:rPr>
                <w:noProof/>
                <w:webHidden/>
              </w:rPr>
              <w:instrText xml:space="preserve"> PAGEREF _Toc105166754 \h </w:instrText>
            </w:r>
            <w:r w:rsidR="008149C7">
              <w:rPr>
                <w:noProof/>
                <w:webHidden/>
              </w:rPr>
            </w:r>
            <w:r w:rsidR="008149C7">
              <w:rPr>
                <w:noProof/>
                <w:webHidden/>
              </w:rPr>
              <w:fldChar w:fldCharType="separate"/>
            </w:r>
            <w:r w:rsidR="006C60E3">
              <w:rPr>
                <w:noProof/>
                <w:webHidden/>
              </w:rPr>
              <w:t>7</w:t>
            </w:r>
            <w:r w:rsidR="008149C7">
              <w:rPr>
                <w:noProof/>
                <w:webHidden/>
              </w:rPr>
              <w:fldChar w:fldCharType="end"/>
            </w:r>
          </w:hyperlink>
        </w:p>
        <w:p w14:paraId="2F21A9F1" w14:textId="5CA3A3C2" w:rsidR="008149C7" w:rsidRDefault="002D48F1" w:rsidP="008149C7">
          <w:pPr>
            <w:pStyle w:val="TOC3"/>
            <w:tabs>
              <w:tab w:val="left" w:pos="880"/>
              <w:tab w:val="right" w:leader="dot" w:pos="9016"/>
            </w:tabs>
            <w:rPr>
              <w:rFonts w:eastAsiaTheme="minorEastAsia"/>
              <w:noProof/>
              <w:lang w:eastAsia="en-AU"/>
            </w:rPr>
          </w:pPr>
          <w:hyperlink w:anchor="_Toc105166755" w:history="1">
            <w:r w:rsidR="008149C7" w:rsidRPr="003331FF">
              <w:rPr>
                <w:rStyle w:val="Hyperlink"/>
                <w:b/>
                <w:bCs/>
                <w:noProof/>
              </w:rPr>
              <w:t>8.</w:t>
            </w:r>
            <w:r w:rsidR="008149C7">
              <w:rPr>
                <w:rFonts w:eastAsiaTheme="minorEastAsia"/>
                <w:noProof/>
                <w:lang w:eastAsia="en-AU"/>
              </w:rPr>
              <w:tab/>
            </w:r>
            <w:r w:rsidR="008149C7" w:rsidRPr="003331FF">
              <w:rPr>
                <w:rStyle w:val="Hyperlink"/>
                <w:b/>
                <w:bCs/>
                <w:noProof/>
              </w:rPr>
              <w:t>Duration of projects</w:t>
            </w:r>
            <w:r w:rsidR="008149C7">
              <w:rPr>
                <w:noProof/>
                <w:webHidden/>
              </w:rPr>
              <w:tab/>
            </w:r>
            <w:r w:rsidR="008149C7">
              <w:rPr>
                <w:noProof/>
                <w:webHidden/>
              </w:rPr>
              <w:fldChar w:fldCharType="begin"/>
            </w:r>
            <w:r w:rsidR="008149C7">
              <w:rPr>
                <w:noProof/>
                <w:webHidden/>
              </w:rPr>
              <w:instrText xml:space="preserve"> PAGEREF _Toc105166755 \h </w:instrText>
            </w:r>
            <w:r w:rsidR="008149C7">
              <w:rPr>
                <w:noProof/>
                <w:webHidden/>
              </w:rPr>
            </w:r>
            <w:r w:rsidR="008149C7">
              <w:rPr>
                <w:noProof/>
                <w:webHidden/>
              </w:rPr>
              <w:fldChar w:fldCharType="separate"/>
            </w:r>
            <w:r w:rsidR="006C60E3">
              <w:rPr>
                <w:noProof/>
                <w:webHidden/>
              </w:rPr>
              <w:t>8</w:t>
            </w:r>
            <w:r w:rsidR="008149C7">
              <w:rPr>
                <w:noProof/>
                <w:webHidden/>
              </w:rPr>
              <w:fldChar w:fldCharType="end"/>
            </w:r>
          </w:hyperlink>
        </w:p>
        <w:p w14:paraId="39814E4E" w14:textId="52D71B71" w:rsidR="008149C7" w:rsidRDefault="002D48F1" w:rsidP="008149C7">
          <w:pPr>
            <w:pStyle w:val="TOC3"/>
            <w:tabs>
              <w:tab w:val="left" w:pos="880"/>
              <w:tab w:val="right" w:leader="dot" w:pos="9016"/>
            </w:tabs>
            <w:rPr>
              <w:rFonts w:eastAsiaTheme="minorEastAsia"/>
              <w:noProof/>
              <w:lang w:eastAsia="en-AU"/>
            </w:rPr>
          </w:pPr>
          <w:hyperlink w:anchor="_Toc105166756" w:history="1">
            <w:r w:rsidR="008149C7" w:rsidRPr="003331FF">
              <w:rPr>
                <w:rStyle w:val="Hyperlink"/>
                <w:b/>
                <w:bCs/>
                <w:noProof/>
              </w:rPr>
              <w:t>9.</w:t>
            </w:r>
            <w:r w:rsidR="008149C7">
              <w:rPr>
                <w:rFonts w:eastAsiaTheme="minorEastAsia"/>
                <w:noProof/>
                <w:lang w:eastAsia="en-AU"/>
              </w:rPr>
              <w:tab/>
            </w:r>
            <w:r w:rsidR="008149C7" w:rsidRPr="003331FF">
              <w:rPr>
                <w:rStyle w:val="Hyperlink"/>
                <w:b/>
                <w:bCs/>
                <w:noProof/>
              </w:rPr>
              <w:t>Application Process</w:t>
            </w:r>
            <w:r w:rsidR="008149C7">
              <w:rPr>
                <w:noProof/>
                <w:webHidden/>
              </w:rPr>
              <w:tab/>
            </w:r>
            <w:r w:rsidR="008149C7">
              <w:rPr>
                <w:noProof/>
                <w:webHidden/>
              </w:rPr>
              <w:fldChar w:fldCharType="begin"/>
            </w:r>
            <w:r w:rsidR="008149C7">
              <w:rPr>
                <w:noProof/>
                <w:webHidden/>
              </w:rPr>
              <w:instrText xml:space="preserve"> PAGEREF _Toc105166756 \h </w:instrText>
            </w:r>
            <w:r w:rsidR="008149C7">
              <w:rPr>
                <w:noProof/>
                <w:webHidden/>
              </w:rPr>
            </w:r>
            <w:r w:rsidR="008149C7">
              <w:rPr>
                <w:noProof/>
                <w:webHidden/>
              </w:rPr>
              <w:fldChar w:fldCharType="separate"/>
            </w:r>
            <w:r w:rsidR="006C60E3">
              <w:rPr>
                <w:noProof/>
                <w:webHidden/>
              </w:rPr>
              <w:t>8</w:t>
            </w:r>
            <w:r w:rsidR="008149C7">
              <w:rPr>
                <w:noProof/>
                <w:webHidden/>
              </w:rPr>
              <w:fldChar w:fldCharType="end"/>
            </w:r>
          </w:hyperlink>
        </w:p>
        <w:p w14:paraId="30A5D251" w14:textId="2E9028B1" w:rsidR="008149C7" w:rsidRDefault="002D48F1" w:rsidP="008149C7">
          <w:pPr>
            <w:pStyle w:val="TOC3"/>
            <w:tabs>
              <w:tab w:val="left" w:pos="1100"/>
              <w:tab w:val="right" w:leader="dot" w:pos="9016"/>
            </w:tabs>
            <w:rPr>
              <w:rFonts w:eastAsiaTheme="minorEastAsia"/>
              <w:noProof/>
              <w:lang w:eastAsia="en-AU"/>
            </w:rPr>
          </w:pPr>
          <w:hyperlink w:anchor="_Toc105166757" w:history="1">
            <w:r w:rsidR="008149C7" w:rsidRPr="003331FF">
              <w:rPr>
                <w:rStyle w:val="Hyperlink"/>
                <w:b/>
                <w:bCs/>
                <w:noProof/>
              </w:rPr>
              <w:t>10.</w:t>
            </w:r>
            <w:r w:rsidR="008149C7">
              <w:rPr>
                <w:rFonts w:eastAsiaTheme="minorEastAsia"/>
                <w:noProof/>
                <w:lang w:eastAsia="en-AU"/>
              </w:rPr>
              <w:tab/>
            </w:r>
            <w:r w:rsidR="008149C7" w:rsidRPr="003331FF">
              <w:rPr>
                <w:rStyle w:val="Hyperlink"/>
                <w:b/>
                <w:bCs/>
                <w:noProof/>
              </w:rPr>
              <w:t>Assessment of applications</w:t>
            </w:r>
            <w:r w:rsidR="008149C7">
              <w:rPr>
                <w:noProof/>
                <w:webHidden/>
              </w:rPr>
              <w:tab/>
            </w:r>
            <w:r w:rsidR="008149C7">
              <w:rPr>
                <w:noProof/>
                <w:webHidden/>
              </w:rPr>
              <w:fldChar w:fldCharType="begin"/>
            </w:r>
            <w:r w:rsidR="008149C7">
              <w:rPr>
                <w:noProof/>
                <w:webHidden/>
              </w:rPr>
              <w:instrText xml:space="preserve"> PAGEREF _Toc105166757 \h </w:instrText>
            </w:r>
            <w:r w:rsidR="008149C7">
              <w:rPr>
                <w:noProof/>
                <w:webHidden/>
              </w:rPr>
            </w:r>
            <w:r w:rsidR="008149C7">
              <w:rPr>
                <w:noProof/>
                <w:webHidden/>
              </w:rPr>
              <w:fldChar w:fldCharType="separate"/>
            </w:r>
            <w:r w:rsidR="006C60E3">
              <w:rPr>
                <w:noProof/>
                <w:webHidden/>
              </w:rPr>
              <w:t>10</w:t>
            </w:r>
            <w:r w:rsidR="008149C7">
              <w:rPr>
                <w:noProof/>
                <w:webHidden/>
              </w:rPr>
              <w:fldChar w:fldCharType="end"/>
            </w:r>
          </w:hyperlink>
        </w:p>
        <w:p w14:paraId="648227F1" w14:textId="60559D37" w:rsidR="008149C7" w:rsidRDefault="002D48F1" w:rsidP="008149C7">
          <w:pPr>
            <w:pStyle w:val="TOC3"/>
            <w:tabs>
              <w:tab w:val="left" w:pos="1100"/>
              <w:tab w:val="right" w:leader="dot" w:pos="9016"/>
            </w:tabs>
            <w:rPr>
              <w:rFonts w:eastAsiaTheme="minorEastAsia"/>
              <w:noProof/>
              <w:lang w:eastAsia="en-AU"/>
            </w:rPr>
          </w:pPr>
          <w:hyperlink w:anchor="_Toc105166758" w:history="1">
            <w:r w:rsidR="008149C7" w:rsidRPr="003331FF">
              <w:rPr>
                <w:rStyle w:val="Hyperlink"/>
                <w:b/>
                <w:bCs/>
                <w:noProof/>
              </w:rPr>
              <w:t>11.</w:t>
            </w:r>
            <w:r w:rsidR="008149C7">
              <w:rPr>
                <w:rFonts w:eastAsiaTheme="minorEastAsia"/>
                <w:noProof/>
                <w:lang w:eastAsia="en-AU"/>
              </w:rPr>
              <w:tab/>
            </w:r>
            <w:r w:rsidR="008149C7" w:rsidRPr="003331FF">
              <w:rPr>
                <w:rStyle w:val="Hyperlink"/>
                <w:b/>
                <w:bCs/>
                <w:noProof/>
              </w:rPr>
              <w:t>Assessment criteria</w:t>
            </w:r>
            <w:r w:rsidR="008149C7">
              <w:rPr>
                <w:noProof/>
                <w:webHidden/>
              </w:rPr>
              <w:tab/>
            </w:r>
            <w:r w:rsidR="008149C7">
              <w:rPr>
                <w:noProof/>
                <w:webHidden/>
              </w:rPr>
              <w:fldChar w:fldCharType="begin"/>
            </w:r>
            <w:r w:rsidR="008149C7">
              <w:rPr>
                <w:noProof/>
                <w:webHidden/>
              </w:rPr>
              <w:instrText xml:space="preserve"> PAGEREF _Toc105166758 \h </w:instrText>
            </w:r>
            <w:r w:rsidR="008149C7">
              <w:rPr>
                <w:noProof/>
                <w:webHidden/>
              </w:rPr>
            </w:r>
            <w:r w:rsidR="008149C7">
              <w:rPr>
                <w:noProof/>
                <w:webHidden/>
              </w:rPr>
              <w:fldChar w:fldCharType="separate"/>
            </w:r>
            <w:r w:rsidR="006C60E3">
              <w:rPr>
                <w:noProof/>
                <w:webHidden/>
              </w:rPr>
              <w:t>11</w:t>
            </w:r>
            <w:r w:rsidR="008149C7">
              <w:rPr>
                <w:noProof/>
                <w:webHidden/>
              </w:rPr>
              <w:fldChar w:fldCharType="end"/>
            </w:r>
          </w:hyperlink>
        </w:p>
        <w:p w14:paraId="7043436E" w14:textId="4E6A9E0F" w:rsidR="008149C7" w:rsidRDefault="002D48F1" w:rsidP="008149C7">
          <w:pPr>
            <w:pStyle w:val="TOC3"/>
            <w:tabs>
              <w:tab w:val="left" w:pos="1100"/>
              <w:tab w:val="right" w:leader="dot" w:pos="9016"/>
            </w:tabs>
            <w:rPr>
              <w:rFonts w:eastAsiaTheme="minorEastAsia"/>
              <w:noProof/>
              <w:lang w:eastAsia="en-AU"/>
            </w:rPr>
          </w:pPr>
          <w:hyperlink w:anchor="_Toc105166759" w:history="1">
            <w:r w:rsidR="008149C7" w:rsidRPr="003331FF">
              <w:rPr>
                <w:rStyle w:val="Hyperlink"/>
                <w:b/>
                <w:bCs/>
                <w:noProof/>
              </w:rPr>
              <w:t>12.</w:t>
            </w:r>
            <w:r w:rsidR="008149C7">
              <w:rPr>
                <w:rFonts w:eastAsiaTheme="minorEastAsia"/>
                <w:noProof/>
                <w:lang w:eastAsia="en-AU"/>
              </w:rPr>
              <w:tab/>
            </w:r>
            <w:r w:rsidR="008149C7" w:rsidRPr="003331FF">
              <w:rPr>
                <w:rStyle w:val="Hyperlink"/>
                <w:b/>
                <w:bCs/>
                <w:noProof/>
              </w:rPr>
              <w:t>Grant agreements</w:t>
            </w:r>
            <w:r w:rsidR="008149C7">
              <w:rPr>
                <w:noProof/>
                <w:webHidden/>
              </w:rPr>
              <w:tab/>
            </w:r>
            <w:r w:rsidR="008149C7">
              <w:rPr>
                <w:noProof/>
                <w:webHidden/>
              </w:rPr>
              <w:fldChar w:fldCharType="begin"/>
            </w:r>
            <w:r w:rsidR="008149C7">
              <w:rPr>
                <w:noProof/>
                <w:webHidden/>
              </w:rPr>
              <w:instrText xml:space="preserve"> PAGEREF _Toc105166759 \h </w:instrText>
            </w:r>
            <w:r w:rsidR="008149C7">
              <w:rPr>
                <w:noProof/>
                <w:webHidden/>
              </w:rPr>
            </w:r>
            <w:r w:rsidR="008149C7">
              <w:rPr>
                <w:noProof/>
                <w:webHidden/>
              </w:rPr>
              <w:fldChar w:fldCharType="separate"/>
            </w:r>
            <w:r w:rsidR="006C60E3">
              <w:rPr>
                <w:noProof/>
                <w:webHidden/>
              </w:rPr>
              <w:t>12</w:t>
            </w:r>
            <w:r w:rsidR="008149C7">
              <w:rPr>
                <w:noProof/>
                <w:webHidden/>
              </w:rPr>
              <w:fldChar w:fldCharType="end"/>
            </w:r>
          </w:hyperlink>
        </w:p>
        <w:p w14:paraId="5F7ECEF7" w14:textId="3BC7868F" w:rsidR="008149C7" w:rsidRDefault="002D48F1" w:rsidP="008149C7">
          <w:pPr>
            <w:pStyle w:val="TOC3"/>
            <w:tabs>
              <w:tab w:val="left" w:pos="1100"/>
              <w:tab w:val="right" w:leader="dot" w:pos="9016"/>
            </w:tabs>
            <w:rPr>
              <w:rFonts w:eastAsiaTheme="minorEastAsia"/>
              <w:noProof/>
              <w:lang w:eastAsia="en-AU"/>
            </w:rPr>
          </w:pPr>
          <w:hyperlink w:anchor="_Toc105166760" w:history="1">
            <w:r w:rsidR="008149C7" w:rsidRPr="003331FF">
              <w:rPr>
                <w:rStyle w:val="Hyperlink"/>
                <w:b/>
                <w:bCs/>
                <w:noProof/>
              </w:rPr>
              <w:t>13.</w:t>
            </w:r>
            <w:r w:rsidR="008149C7">
              <w:rPr>
                <w:rFonts w:eastAsiaTheme="minorEastAsia"/>
                <w:noProof/>
                <w:lang w:eastAsia="en-AU"/>
              </w:rPr>
              <w:tab/>
            </w:r>
            <w:r w:rsidR="008149C7" w:rsidRPr="003331FF">
              <w:rPr>
                <w:rStyle w:val="Hyperlink"/>
                <w:b/>
                <w:bCs/>
                <w:noProof/>
              </w:rPr>
              <w:t>Terms of Applying</w:t>
            </w:r>
            <w:r w:rsidR="008149C7">
              <w:rPr>
                <w:noProof/>
                <w:webHidden/>
              </w:rPr>
              <w:tab/>
            </w:r>
            <w:r w:rsidR="008149C7">
              <w:rPr>
                <w:noProof/>
                <w:webHidden/>
              </w:rPr>
              <w:fldChar w:fldCharType="begin"/>
            </w:r>
            <w:r w:rsidR="008149C7">
              <w:rPr>
                <w:noProof/>
                <w:webHidden/>
              </w:rPr>
              <w:instrText xml:space="preserve"> PAGEREF _Toc105166760 \h </w:instrText>
            </w:r>
            <w:r w:rsidR="008149C7">
              <w:rPr>
                <w:noProof/>
                <w:webHidden/>
              </w:rPr>
            </w:r>
            <w:r w:rsidR="008149C7">
              <w:rPr>
                <w:noProof/>
                <w:webHidden/>
              </w:rPr>
              <w:fldChar w:fldCharType="separate"/>
            </w:r>
            <w:r w:rsidR="006C60E3">
              <w:rPr>
                <w:noProof/>
                <w:webHidden/>
              </w:rPr>
              <w:t>13</w:t>
            </w:r>
            <w:r w:rsidR="008149C7">
              <w:rPr>
                <w:noProof/>
                <w:webHidden/>
              </w:rPr>
              <w:fldChar w:fldCharType="end"/>
            </w:r>
          </w:hyperlink>
        </w:p>
        <w:p w14:paraId="1ED6CB40" w14:textId="0BDC4559" w:rsidR="008149C7" w:rsidRDefault="002D48F1" w:rsidP="008149C7">
          <w:pPr>
            <w:pStyle w:val="TOC3"/>
            <w:tabs>
              <w:tab w:val="left" w:pos="1100"/>
              <w:tab w:val="right" w:leader="dot" w:pos="9016"/>
            </w:tabs>
            <w:rPr>
              <w:rFonts w:eastAsiaTheme="minorEastAsia"/>
              <w:noProof/>
              <w:lang w:eastAsia="en-AU"/>
            </w:rPr>
          </w:pPr>
          <w:hyperlink w:anchor="_Toc105166761" w:history="1">
            <w:r w:rsidR="008149C7" w:rsidRPr="003331FF">
              <w:rPr>
                <w:rStyle w:val="Hyperlink"/>
                <w:b/>
                <w:bCs/>
                <w:noProof/>
              </w:rPr>
              <w:t>14.</w:t>
            </w:r>
            <w:r w:rsidR="008149C7">
              <w:rPr>
                <w:rFonts w:eastAsiaTheme="minorEastAsia"/>
                <w:noProof/>
                <w:lang w:eastAsia="en-AU"/>
              </w:rPr>
              <w:tab/>
            </w:r>
            <w:r w:rsidR="008149C7" w:rsidRPr="003331FF">
              <w:rPr>
                <w:rStyle w:val="Hyperlink"/>
                <w:b/>
                <w:bCs/>
                <w:noProof/>
              </w:rPr>
              <w:t>Privacy and Confidentiality</w:t>
            </w:r>
            <w:r w:rsidR="008149C7">
              <w:rPr>
                <w:noProof/>
                <w:webHidden/>
              </w:rPr>
              <w:tab/>
            </w:r>
            <w:r w:rsidR="008149C7">
              <w:rPr>
                <w:noProof/>
                <w:webHidden/>
              </w:rPr>
              <w:fldChar w:fldCharType="begin"/>
            </w:r>
            <w:r w:rsidR="008149C7">
              <w:rPr>
                <w:noProof/>
                <w:webHidden/>
              </w:rPr>
              <w:instrText xml:space="preserve"> PAGEREF _Toc105166761 \h </w:instrText>
            </w:r>
            <w:r w:rsidR="008149C7">
              <w:rPr>
                <w:noProof/>
                <w:webHidden/>
              </w:rPr>
            </w:r>
            <w:r w:rsidR="008149C7">
              <w:rPr>
                <w:noProof/>
                <w:webHidden/>
              </w:rPr>
              <w:fldChar w:fldCharType="separate"/>
            </w:r>
            <w:r w:rsidR="006C60E3">
              <w:rPr>
                <w:noProof/>
                <w:webHidden/>
              </w:rPr>
              <w:t>14</w:t>
            </w:r>
            <w:r w:rsidR="008149C7">
              <w:rPr>
                <w:noProof/>
                <w:webHidden/>
              </w:rPr>
              <w:fldChar w:fldCharType="end"/>
            </w:r>
          </w:hyperlink>
        </w:p>
        <w:p w14:paraId="314010D8" w14:textId="3C08952A" w:rsidR="008149C7" w:rsidRDefault="002D48F1" w:rsidP="008149C7">
          <w:pPr>
            <w:pStyle w:val="TOC3"/>
            <w:tabs>
              <w:tab w:val="left" w:pos="1100"/>
              <w:tab w:val="right" w:leader="dot" w:pos="9016"/>
            </w:tabs>
            <w:rPr>
              <w:rFonts w:eastAsiaTheme="minorEastAsia"/>
              <w:noProof/>
              <w:lang w:eastAsia="en-AU"/>
            </w:rPr>
          </w:pPr>
          <w:hyperlink w:anchor="_Toc105166762" w:history="1">
            <w:r w:rsidR="008149C7" w:rsidRPr="003331FF">
              <w:rPr>
                <w:rStyle w:val="Hyperlink"/>
                <w:b/>
                <w:bCs/>
                <w:noProof/>
              </w:rPr>
              <w:t>15.</w:t>
            </w:r>
            <w:r w:rsidR="008149C7">
              <w:rPr>
                <w:rFonts w:eastAsiaTheme="minorEastAsia"/>
                <w:noProof/>
                <w:lang w:eastAsia="en-AU"/>
              </w:rPr>
              <w:tab/>
            </w:r>
            <w:r w:rsidR="008149C7" w:rsidRPr="003331FF">
              <w:rPr>
                <w:rStyle w:val="Hyperlink"/>
                <w:b/>
                <w:bCs/>
                <w:noProof/>
              </w:rPr>
              <w:t>Contacts and Further Information</w:t>
            </w:r>
            <w:r w:rsidR="008149C7">
              <w:rPr>
                <w:noProof/>
                <w:webHidden/>
              </w:rPr>
              <w:tab/>
            </w:r>
            <w:r w:rsidR="008149C7">
              <w:rPr>
                <w:noProof/>
                <w:webHidden/>
              </w:rPr>
              <w:fldChar w:fldCharType="begin"/>
            </w:r>
            <w:r w:rsidR="008149C7">
              <w:rPr>
                <w:noProof/>
                <w:webHidden/>
              </w:rPr>
              <w:instrText xml:space="preserve"> PAGEREF _Toc105166762 \h </w:instrText>
            </w:r>
            <w:r w:rsidR="008149C7">
              <w:rPr>
                <w:noProof/>
                <w:webHidden/>
              </w:rPr>
            </w:r>
            <w:r w:rsidR="008149C7">
              <w:rPr>
                <w:noProof/>
                <w:webHidden/>
              </w:rPr>
              <w:fldChar w:fldCharType="separate"/>
            </w:r>
            <w:r w:rsidR="006C60E3">
              <w:rPr>
                <w:noProof/>
                <w:webHidden/>
              </w:rPr>
              <w:t>14</w:t>
            </w:r>
            <w:r w:rsidR="008149C7">
              <w:rPr>
                <w:noProof/>
                <w:webHidden/>
              </w:rPr>
              <w:fldChar w:fldCharType="end"/>
            </w:r>
          </w:hyperlink>
        </w:p>
        <w:p w14:paraId="01D309F6" w14:textId="66597F10" w:rsidR="008149C7" w:rsidRDefault="008149C7" w:rsidP="008149C7">
          <w:r>
            <w:rPr>
              <w:b/>
              <w:bCs/>
              <w:noProof/>
            </w:rPr>
            <w:fldChar w:fldCharType="end"/>
          </w:r>
        </w:p>
      </w:sdtContent>
    </w:sdt>
    <w:p w14:paraId="1831CD87" w14:textId="77777777" w:rsidR="008149C7" w:rsidRDefault="008149C7" w:rsidP="008149C7">
      <w:pPr>
        <w:rPr>
          <w:b/>
          <w:bCs/>
          <w:sz w:val="32"/>
          <w:szCs w:val="32"/>
        </w:rPr>
      </w:pPr>
    </w:p>
    <w:p w14:paraId="49A67F7F" w14:textId="77777777" w:rsidR="008149C7" w:rsidRDefault="008149C7" w:rsidP="008149C7">
      <w:pPr>
        <w:rPr>
          <w:b/>
          <w:bCs/>
          <w:sz w:val="32"/>
          <w:szCs w:val="32"/>
        </w:rPr>
      </w:pPr>
    </w:p>
    <w:p w14:paraId="65176D55" w14:textId="4ECA4200" w:rsidR="00B87E05" w:rsidRDefault="00B87E05">
      <w:pPr>
        <w:rPr>
          <w:b/>
          <w:bCs/>
          <w:sz w:val="32"/>
          <w:szCs w:val="32"/>
        </w:rPr>
      </w:pPr>
    </w:p>
    <w:p w14:paraId="6ECC5BAB" w14:textId="30E591F4" w:rsidR="00B87E05" w:rsidRDefault="00B87E05">
      <w:pPr>
        <w:rPr>
          <w:b/>
          <w:bCs/>
          <w:sz w:val="32"/>
          <w:szCs w:val="32"/>
        </w:rPr>
      </w:pPr>
    </w:p>
    <w:p w14:paraId="721D0798" w14:textId="5EB936C5" w:rsidR="00B87E05" w:rsidRDefault="00B87E05">
      <w:pPr>
        <w:rPr>
          <w:b/>
          <w:bCs/>
          <w:sz w:val="32"/>
          <w:szCs w:val="32"/>
        </w:rPr>
      </w:pPr>
    </w:p>
    <w:p w14:paraId="02771AC8" w14:textId="2E4B1DC2" w:rsidR="00B87E05" w:rsidRDefault="00B87E05">
      <w:pPr>
        <w:rPr>
          <w:b/>
          <w:bCs/>
          <w:sz w:val="32"/>
          <w:szCs w:val="32"/>
        </w:rPr>
      </w:pPr>
    </w:p>
    <w:p w14:paraId="0AA8B234" w14:textId="04C91F14" w:rsidR="00B87E05" w:rsidRDefault="00B87E05">
      <w:pPr>
        <w:rPr>
          <w:b/>
          <w:bCs/>
          <w:sz w:val="32"/>
          <w:szCs w:val="32"/>
        </w:rPr>
      </w:pPr>
    </w:p>
    <w:p w14:paraId="32B9FFDC" w14:textId="24995A3D" w:rsidR="00B87E05" w:rsidRDefault="00B87E05">
      <w:pPr>
        <w:rPr>
          <w:b/>
          <w:bCs/>
          <w:sz w:val="32"/>
          <w:szCs w:val="32"/>
        </w:rPr>
      </w:pPr>
    </w:p>
    <w:p w14:paraId="2A279C4B" w14:textId="4CA3C3AF" w:rsidR="00B87E05" w:rsidRDefault="00B87E05">
      <w:pPr>
        <w:rPr>
          <w:b/>
          <w:bCs/>
          <w:sz w:val="32"/>
          <w:szCs w:val="32"/>
        </w:rPr>
      </w:pPr>
    </w:p>
    <w:p w14:paraId="4D82AB46" w14:textId="025B31D8" w:rsidR="00B87E05" w:rsidRDefault="00B87E05" w:rsidP="002B6F0B">
      <w:pPr>
        <w:pStyle w:val="Heading3"/>
        <w:numPr>
          <w:ilvl w:val="0"/>
          <w:numId w:val="12"/>
        </w:numPr>
        <w:ind w:left="714" w:hanging="357"/>
        <w:rPr>
          <w:b/>
          <w:bCs/>
          <w:sz w:val="32"/>
          <w:szCs w:val="32"/>
        </w:rPr>
      </w:pPr>
      <w:bookmarkStart w:id="0" w:name="_Toc105166747"/>
      <w:r w:rsidRPr="00B87E05">
        <w:rPr>
          <w:b/>
          <w:bCs/>
          <w:sz w:val="32"/>
          <w:szCs w:val="32"/>
        </w:rPr>
        <w:lastRenderedPageBreak/>
        <w:t>Background</w:t>
      </w:r>
      <w:bookmarkEnd w:id="0"/>
    </w:p>
    <w:p w14:paraId="7E347190" w14:textId="77777777" w:rsidR="00890FCE" w:rsidRPr="00964855" w:rsidRDefault="00890FCE" w:rsidP="00890FCE">
      <w:pPr>
        <w:rPr>
          <w:sz w:val="8"/>
          <w:szCs w:val="8"/>
        </w:rPr>
      </w:pPr>
    </w:p>
    <w:p w14:paraId="3EFD23BB" w14:textId="0A02572D" w:rsidR="0023378B" w:rsidRDefault="0023378B" w:rsidP="000C44BF">
      <w:pPr>
        <w:jc w:val="both"/>
      </w:pPr>
      <w:r w:rsidRPr="00C0148D">
        <w:t>In November 2021, the Victorian Government agreed to</w:t>
      </w:r>
      <w:r>
        <w:t xml:space="preserve"> establish the Victorian Land Systems Fund (VLSF) to</w:t>
      </w:r>
      <w:r w:rsidRPr="00C0148D">
        <w:t xml:space="preserve"> support </w:t>
      </w:r>
      <w:r w:rsidR="00466D79" w:rsidRPr="00C0148D">
        <w:t xml:space="preserve">existing and future Victorian-based supply chain partners </w:t>
      </w:r>
      <w:r w:rsidR="00466D79">
        <w:t xml:space="preserve">of </w:t>
      </w:r>
      <w:r w:rsidRPr="00C0148D">
        <w:t>Hanwha</w:t>
      </w:r>
      <w:r w:rsidR="00B93793">
        <w:t xml:space="preserve"> Defense Australia</w:t>
      </w:r>
      <w:r w:rsidR="009D1573">
        <w:t xml:space="preserve"> (Hanwha)</w:t>
      </w:r>
      <w:r>
        <w:t>.</w:t>
      </w:r>
    </w:p>
    <w:p w14:paraId="02E361B1" w14:textId="6DF97DF2" w:rsidR="007F18AE" w:rsidRPr="001834A5" w:rsidRDefault="007F18AE" w:rsidP="000C44BF">
      <w:pPr>
        <w:jc w:val="both"/>
      </w:pPr>
      <w:r w:rsidRPr="00B87E05">
        <w:t xml:space="preserve">The VLSF is a Victorian Government initiative that supports </w:t>
      </w:r>
      <w:r w:rsidRPr="001834A5">
        <w:t xml:space="preserve">Victorian </w:t>
      </w:r>
      <w:r w:rsidR="00E064C5" w:rsidRPr="001834A5">
        <w:t>businesses, with</w:t>
      </w:r>
      <w:r w:rsidR="003F3317" w:rsidRPr="001834A5">
        <w:t xml:space="preserve"> a focus on</w:t>
      </w:r>
      <w:r w:rsidRPr="001834A5">
        <w:t xml:space="preserve"> Small to Medium Enterprises (SMEs)</w:t>
      </w:r>
      <w:r w:rsidR="003F3317" w:rsidRPr="001834A5">
        <w:t>,</w:t>
      </w:r>
      <w:r w:rsidRPr="001834A5">
        <w:t xml:space="preserve"> to win supply chain work </w:t>
      </w:r>
      <w:r w:rsidR="009368E3">
        <w:t>with</w:t>
      </w:r>
      <w:r w:rsidR="009368E3" w:rsidRPr="001834A5">
        <w:t xml:space="preserve"> </w:t>
      </w:r>
      <w:r w:rsidRPr="001834A5">
        <w:t>Hanwha</w:t>
      </w:r>
      <w:r w:rsidR="009368E3">
        <w:t xml:space="preserve"> for the Commonwealth Government’s</w:t>
      </w:r>
      <w:r w:rsidRPr="001834A5">
        <w:t xml:space="preserve"> Land 8116</w:t>
      </w:r>
      <w:r w:rsidR="00605888">
        <w:t xml:space="preserve"> program</w:t>
      </w:r>
      <w:r w:rsidRPr="001834A5">
        <w:t xml:space="preserve">. </w:t>
      </w:r>
    </w:p>
    <w:p w14:paraId="441E2049" w14:textId="77777777" w:rsidR="00B54C98" w:rsidRDefault="00C0148D" w:rsidP="000C44BF">
      <w:pPr>
        <w:jc w:val="both"/>
      </w:pPr>
      <w:r w:rsidRPr="00C0148D">
        <w:t xml:space="preserve">The </w:t>
      </w:r>
      <w:r w:rsidR="00AA79AB">
        <w:t>Supply Chain Uplift Program (SCUP)</w:t>
      </w:r>
      <w:r w:rsidRPr="00C0148D">
        <w:t xml:space="preserve"> is one of two </w:t>
      </w:r>
      <w:r w:rsidR="007F18AE">
        <w:t xml:space="preserve">VLSF </w:t>
      </w:r>
      <w:r w:rsidRPr="00C0148D">
        <w:t xml:space="preserve">grant </w:t>
      </w:r>
      <w:r w:rsidR="00BD053D">
        <w:t>streams</w:t>
      </w:r>
      <w:r w:rsidR="008223FC">
        <w:t>.</w:t>
      </w:r>
      <w:r w:rsidR="00812590">
        <w:t xml:space="preserve"> </w:t>
      </w:r>
      <w:r w:rsidRPr="00C0148D">
        <w:t xml:space="preserve">The SCUP </w:t>
      </w:r>
      <w:r w:rsidR="00641888">
        <w:t>provides</w:t>
      </w:r>
      <w:r w:rsidRPr="00C0148D">
        <w:t xml:space="preserve"> grants for business improvement activities </w:t>
      </w:r>
      <w:r w:rsidR="000F51E8">
        <w:t xml:space="preserve">that will </w:t>
      </w:r>
      <w:r w:rsidR="00B54C98">
        <w:t>enhance the</w:t>
      </w:r>
      <w:r w:rsidR="00B87E05" w:rsidRPr="00B87E05">
        <w:t xml:space="preserve"> </w:t>
      </w:r>
      <w:r w:rsidR="007F18AE">
        <w:t>capacity</w:t>
      </w:r>
      <w:r w:rsidR="007F18AE" w:rsidRPr="00B87E05">
        <w:t xml:space="preserve"> </w:t>
      </w:r>
      <w:r w:rsidR="00B87E05" w:rsidRPr="00B87E05">
        <w:t xml:space="preserve">of SMEs to effectively compete for and </w:t>
      </w:r>
      <w:r w:rsidR="007F18AE">
        <w:t>win</w:t>
      </w:r>
      <w:r w:rsidR="00B87E05" w:rsidRPr="00B87E05">
        <w:t xml:space="preserve"> contracts with Hanwha.</w:t>
      </w:r>
      <w:r w:rsidR="00F353D5">
        <w:t xml:space="preserve"> </w:t>
      </w:r>
    </w:p>
    <w:p w14:paraId="1E720A07" w14:textId="04D31E0B" w:rsidR="00B87E05" w:rsidRDefault="00F353D5" w:rsidP="000C44BF">
      <w:pPr>
        <w:jc w:val="both"/>
      </w:pPr>
      <w:r>
        <w:t>SCUP</w:t>
      </w:r>
      <w:r w:rsidR="00B87E05" w:rsidRPr="00B87E05">
        <w:t xml:space="preserve"> is part of the Victorian Government’s Defence Capture Plan (2021) which outlines the</w:t>
      </w:r>
      <w:r>
        <w:t xml:space="preserve"> </w:t>
      </w:r>
      <w:r w:rsidR="00C85E78">
        <w:t>government’s</w:t>
      </w:r>
      <w:r w:rsidR="00B87E05" w:rsidRPr="00B87E05">
        <w:t xml:space="preserve"> approach to grow Victoria’s defence industry sector.</w:t>
      </w:r>
      <w:r w:rsidR="00A41650">
        <w:t xml:space="preserve"> </w:t>
      </w:r>
      <w:r>
        <w:t>SCUP</w:t>
      </w:r>
      <w:r w:rsidR="00B87E05" w:rsidRPr="00B87E05">
        <w:t xml:space="preserve"> is administered by the Department of Jobs, Precincts and Regions (</w:t>
      </w:r>
      <w:r w:rsidR="006E21D4">
        <w:t xml:space="preserve">the </w:t>
      </w:r>
      <w:r w:rsidR="00B87E05" w:rsidRPr="00B87E05">
        <w:t>Department).</w:t>
      </w:r>
    </w:p>
    <w:p w14:paraId="5777A8A3" w14:textId="77777777" w:rsidR="008149C7" w:rsidRPr="00964855" w:rsidRDefault="008149C7" w:rsidP="000C44BF">
      <w:pPr>
        <w:jc w:val="both"/>
        <w:rPr>
          <w:sz w:val="8"/>
          <w:szCs w:val="8"/>
        </w:rPr>
      </w:pPr>
    </w:p>
    <w:p w14:paraId="7A9E8699" w14:textId="2A5327A0" w:rsidR="00B87E05" w:rsidRPr="00B87E05" w:rsidRDefault="00B87E05" w:rsidP="002B6F0B">
      <w:pPr>
        <w:pStyle w:val="Heading3"/>
        <w:numPr>
          <w:ilvl w:val="0"/>
          <w:numId w:val="12"/>
        </w:numPr>
        <w:ind w:left="714" w:hanging="357"/>
        <w:rPr>
          <w:b/>
          <w:bCs/>
          <w:sz w:val="32"/>
          <w:szCs w:val="32"/>
        </w:rPr>
      </w:pPr>
      <w:bookmarkStart w:id="1" w:name="_Toc105166748"/>
      <w:r>
        <w:rPr>
          <w:b/>
          <w:bCs/>
          <w:sz w:val="32"/>
          <w:szCs w:val="32"/>
        </w:rPr>
        <w:t>Program objectives</w:t>
      </w:r>
      <w:bookmarkEnd w:id="1"/>
    </w:p>
    <w:p w14:paraId="589EAF88" w14:textId="552CFDCC" w:rsidR="00B87E05" w:rsidRPr="00B87E05" w:rsidRDefault="00964855" w:rsidP="009127BB">
      <w:pPr>
        <w:jc w:val="both"/>
      </w:pPr>
      <w:r>
        <w:br/>
      </w:r>
      <w:r w:rsidR="00B87E05" w:rsidRPr="00B87E05">
        <w:t xml:space="preserve">The objectives of the Program are to maximise the value of the $1 billion Land 8116 program to the </w:t>
      </w:r>
      <w:r w:rsidR="00412018">
        <w:t>S</w:t>
      </w:r>
      <w:r w:rsidR="00B87E05" w:rsidRPr="00B87E05">
        <w:t xml:space="preserve">tate, by supporting Victorian defence industry businesses to enter Hanwha’s domestic and global supply chains. </w:t>
      </w:r>
    </w:p>
    <w:p w14:paraId="0E9C1C10" w14:textId="2DE304C7" w:rsidR="009E746C" w:rsidRDefault="00B87E05" w:rsidP="009127BB">
      <w:pPr>
        <w:jc w:val="both"/>
      </w:pPr>
      <w:r w:rsidRPr="00B87E05">
        <w:t>Funding will support Victorian businesses to gain relevant accreditations (</w:t>
      </w:r>
      <w:r w:rsidR="00510AE3" w:rsidRPr="00B87E05">
        <w:t>e.g.,</w:t>
      </w:r>
      <w:r w:rsidRPr="00B87E05">
        <w:t xml:space="preserve"> ISO 9001), prepare tenders and meet industry specific compliance requirements such as International Traffic in Arms Regulations (ITAR) or the Defence Industry Security Program (DISP).</w:t>
      </w:r>
      <w:r w:rsidR="00A41650">
        <w:t xml:space="preserve"> </w:t>
      </w:r>
    </w:p>
    <w:p w14:paraId="48DBACD3" w14:textId="7A019542" w:rsidR="009E746C" w:rsidRDefault="009E746C" w:rsidP="000A306B">
      <w:pPr>
        <w:pStyle w:val="Heading5"/>
        <w:spacing w:after="240"/>
      </w:pPr>
      <w:r>
        <w:t>2.1 Program Outcomes</w:t>
      </w:r>
    </w:p>
    <w:p w14:paraId="32505193" w14:textId="3E5D4F9D" w:rsidR="00B87E05" w:rsidRPr="00B87E05" w:rsidRDefault="009E746C" w:rsidP="009127BB">
      <w:pPr>
        <w:jc w:val="both"/>
      </w:pPr>
      <w:r>
        <w:t xml:space="preserve">The intended outcomes for the </w:t>
      </w:r>
      <w:r w:rsidR="001E72FE">
        <w:t xml:space="preserve">Program </w:t>
      </w:r>
      <w:r>
        <w:t>are</w:t>
      </w:r>
      <w:r w:rsidR="00B87E05" w:rsidRPr="00B87E05">
        <w:t>:</w:t>
      </w:r>
    </w:p>
    <w:p w14:paraId="699A7274" w14:textId="4F50DA34" w:rsidR="00B87E05" w:rsidRDefault="00B87E05" w:rsidP="009127BB">
      <w:pPr>
        <w:pStyle w:val="ListParagraph"/>
        <w:numPr>
          <w:ilvl w:val="0"/>
          <w:numId w:val="2"/>
        </w:numPr>
        <w:jc w:val="both"/>
      </w:pPr>
      <w:r w:rsidRPr="00B87E05">
        <w:t>Victorian suppliers secure a greater portion of Hanwha's global and domestic supply chain work</w:t>
      </w:r>
    </w:p>
    <w:p w14:paraId="74EFC90B" w14:textId="77777777" w:rsidR="00B87E05" w:rsidRDefault="00B87E05" w:rsidP="009127BB">
      <w:pPr>
        <w:pStyle w:val="ListParagraph"/>
        <w:numPr>
          <w:ilvl w:val="0"/>
          <w:numId w:val="2"/>
        </w:numPr>
        <w:jc w:val="both"/>
      </w:pPr>
      <w:r w:rsidRPr="00B87E05">
        <w:t>More Victorian suppliers are defence supply chain ready</w:t>
      </w:r>
    </w:p>
    <w:p w14:paraId="5C212AC7" w14:textId="77777777" w:rsidR="00B87E05" w:rsidRDefault="00B87E05" w:rsidP="009127BB">
      <w:pPr>
        <w:pStyle w:val="ListParagraph"/>
        <w:numPr>
          <w:ilvl w:val="0"/>
          <w:numId w:val="2"/>
        </w:numPr>
        <w:jc w:val="both"/>
      </w:pPr>
      <w:r w:rsidRPr="00B87E05">
        <w:t>The Victorian defence supply chain has developed and/or attracted new advanced manufacturing capabilities to the state</w:t>
      </w:r>
    </w:p>
    <w:p w14:paraId="7D3E3226" w14:textId="77777777" w:rsidR="00B87E05" w:rsidRDefault="00B87E05" w:rsidP="009127BB">
      <w:pPr>
        <w:pStyle w:val="ListParagraph"/>
        <w:numPr>
          <w:ilvl w:val="0"/>
          <w:numId w:val="2"/>
        </w:numPr>
        <w:jc w:val="both"/>
      </w:pPr>
      <w:r w:rsidRPr="00B87E05">
        <w:t>Victorian manufacturers are securing partnerships with overseas manufacturers</w:t>
      </w:r>
    </w:p>
    <w:p w14:paraId="68495990" w14:textId="77777777" w:rsidR="00B87E05" w:rsidRDefault="00B87E05" w:rsidP="009127BB">
      <w:pPr>
        <w:pStyle w:val="ListParagraph"/>
        <w:numPr>
          <w:ilvl w:val="0"/>
          <w:numId w:val="2"/>
        </w:numPr>
        <w:jc w:val="both"/>
      </w:pPr>
      <w:r w:rsidRPr="00B87E05">
        <w:t>More people are employed in the Victorian defence supply chain</w:t>
      </w:r>
    </w:p>
    <w:p w14:paraId="63241C6E" w14:textId="77777777" w:rsidR="00964855" w:rsidRDefault="00B87E05" w:rsidP="00201CF6">
      <w:pPr>
        <w:pStyle w:val="ListParagraph"/>
        <w:numPr>
          <w:ilvl w:val="0"/>
          <w:numId w:val="2"/>
        </w:numPr>
        <w:jc w:val="both"/>
      </w:pPr>
      <w:r w:rsidRPr="00B87E05">
        <w:t>Funding enable</w:t>
      </w:r>
      <w:r>
        <w:t>s</w:t>
      </w:r>
      <w:r w:rsidRPr="00B87E05">
        <w:t xml:space="preserve"> Victorian businesses to undertake collaboration activities with Hanwha’s global and South Korean supply chain partners on defence R&amp;D activity and intellectual property transfer opportunities. </w:t>
      </w:r>
    </w:p>
    <w:p w14:paraId="65461121" w14:textId="4D4820EE" w:rsidR="00AC23DB" w:rsidRPr="001834A5" w:rsidRDefault="00B87E05" w:rsidP="00964855">
      <w:pPr>
        <w:jc w:val="both"/>
      </w:pPr>
      <w:r w:rsidRPr="00B87E05">
        <w:t>The Program is intended to complement other existing Commonwealth and State Government funding initiatives</w:t>
      </w:r>
      <w:r w:rsidRPr="001834A5">
        <w:t>.</w:t>
      </w:r>
      <w:r w:rsidR="003F3317" w:rsidRPr="001834A5">
        <w:t xml:space="preserve"> Any </w:t>
      </w:r>
      <w:r w:rsidR="00CF5BD9" w:rsidRPr="001834A5">
        <w:t xml:space="preserve">co-contribution by a </w:t>
      </w:r>
      <w:r w:rsidR="001E72FE">
        <w:t>Program</w:t>
      </w:r>
      <w:r w:rsidR="001E72FE" w:rsidRPr="001834A5">
        <w:t xml:space="preserve"> </w:t>
      </w:r>
      <w:r w:rsidR="00CF5BD9" w:rsidRPr="001834A5">
        <w:t xml:space="preserve">grant recipient cannot </w:t>
      </w:r>
      <w:r w:rsidR="007B6F40" w:rsidRPr="001834A5">
        <w:t xml:space="preserve">be sourced </w:t>
      </w:r>
      <w:r w:rsidR="008B40FF" w:rsidRPr="001834A5">
        <w:t>via</w:t>
      </w:r>
      <w:r w:rsidR="00531555" w:rsidRPr="001834A5">
        <w:t xml:space="preserve"> funding </w:t>
      </w:r>
      <w:r w:rsidR="00951726" w:rsidRPr="001834A5">
        <w:t xml:space="preserve">the </w:t>
      </w:r>
      <w:r w:rsidR="00C6173F" w:rsidRPr="001834A5">
        <w:t xml:space="preserve">business has </w:t>
      </w:r>
      <w:r w:rsidR="00CE45C4" w:rsidRPr="001834A5">
        <w:t xml:space="preserve">received from a </w:t>
      </w:r>
      <w:r w:rsidR="007E745B" w:rsidRPr="001834A5">
        <w:t xml:space="preserve">different </w:t>
      </w:r>
      <w:r w:rsidR="00DA4D5C" w:rsidRPr="001834A5">
        <w:t xml:space="preserve">Commonwealth </w:t>
      </w:r>
      <w:r w:rsidR="008B40FF" w:rsidRPr="001834A5">
        <w:t xml:space="preserve">or State </w:t>
      </w:r>
      <w:r w:rsidR="00DA4D5C" w:rsidRPr="001834A5">
        <w:t>Governm</w:t>
      </w:r>
      <w:r w:rsidR="007E745B" w:rsidRPr="001834A5">
        <w:t>ent</w:t>
      </w:r>
      <w:r w:rsidR="008B40FF" w:rsidRPr="001834A5">
        <w:t xml:space="preserve"> grant or allocation. </w:t>
      </w:r>
    </w:p>
    <w:p w14:paraId="7ED545BA" w14:textId="77777777" w:rsidR="00120D10" w:rsidRDefault="00120D10" w:rsidP="00412018">
      <w:pPr>
        <w:pStyle w:val="Heading3"/>
        <w:numPr>
          <w:ilvl w:val="0"/>
          <w:numId w:val="12"/>
        </w:numPr>
        <w:rPr>
          <w:b/>
          <w:bCs/>
          <w:sz w:val="32"/>
          <w:szCs w:val="32"/>
        </w:rPr>
      </w:pPr>
      <w:bookmarkStart w:id="2" w:name="_Toc105166749"/>
      <w:r w:rsidRPr="00A451E8">
        <w:rPr>
          <w:b/>
          <w:bCs/>
          <w:sz w:val="32"/>
          <w:szCs w:val="32"/>
        </w:rPr>
        <w:lastRenderedPageBreak/>
        <w:t>Funding</w:t>
      </w:r>
      <w:bookmarkEnd w:id="2"/>
      <w:r w:rsidRPr="00A451E8">
        <w:rPr>
          <w:b/>
          <w:bCs/>
          <w:sz w:val="32"/>
          <w:szCs w:val="32"/>
        </w:rPr>
        <w:t xml:space="preserve"> </w:t>
      </w:r>
    </w:p>
    <w:p w14:paraId="45C54695" w14:textId="77777777" w:rsidR="00510AE3" w:rsidRPr="00B05958" w:rsidRDefault="00510AE3" w:rsidP="00510AE3">
      <w:pPr>
        <w:rPr>
          <w:sz w:val="10"/>
          <w:szCs w:val="10"/>
        </w:rPr>
      </w:pPr>
    </w:p>
    <w:p w14:paraId="5AD14350" w14:textId="552158E9" w:rsidR="00CF3BC3" w:rsidRPr="00412018" w:rsidRDefault="00EB0CDA" w:rsidP="000A306B">
      <w:pPr>
        <w:pStyle w:val="Heading5"/>
        <w:spacing w:after="240"/>
      </w:pPr>
      <w:r>
        <w:t xml:space="preserve">3.1 </w:t>
      </w:r>
      <w:r>
        <w:tab/>
      </w:r>
      <w:r w:rsidR="00CF3BC3" w:rsidRPr="00412018">
        <w:t>Grant amount</w:t>
      </w:r>
    </w:p>
    <w:p w14:paraId="79F24124" w14:textId="3D081A05" w:rsidR="00FF7737" w:rsidRDefault="00502CDF" w:rsidP="009127BB">
      <w:pPr>
        <w:jc w:val="both"/>
      </w:pPr>
      <w:r>
        <w:t xml:space="preserve">Grant </w:t>
      </w:r>
      <w:r w:rsidRPr="00412018">
        <w:t xml:space="preserve">amounts of </w:t>
      </w:r>
      <w:r w:rsidR="0084530F" w:rsidRPr="00412018">
        <w:t xml:space="preserve">between $2,000 </w:t>
      </w:r>
      <w:r w:rsidR="001B0BA5" w:rsidRPr="00412018">
        <w:t>and $</w:t>
      </w:r>
      <w:r w:rsidR="00C2403D" w:rsidRPr="00412018">
        <w:t>100,000</w:t>
      </w:r>
      <w:r w:rsidR="000370F2">
        <w:t xml:space="preserve"> (excl GST)</w:t>
      </w:r>
      <w:r w:rsidR="00C2403D" w:rsidRPr="00412018">
        <w:t xml:space="preserve"> are available under this Program</w:t>
      </w:r>
      <w:r w:rsidR="00392732">
        <w:t xml:space="preserve"> for </w:t>
      </w:r>
      <w:r w:rsidR="00C65BBE">
        <w:t xml:space="preserve"> </w:t>
      </w:r>
      <w:r w:rsidR="00392732">
        <w:t>the Land 8116 Program</w:t>
      </w:r>
      <w:r w:rsidR="00305768">
        <w:t xml:space="preserve">. </w:t>
      </w:r>
      <w:r w:rsidR="00120D10" w:rsidRPr="00412018">
        <w:t>The Department will fund 50 per cent of Eligible Expenditure, up to a maximum of $100,000 (excl. GST)</w:t>
      </w:r>
      <w:r w:rsidR="00194219" w:rsidRPr="00412018">
        <w:t xml:space="preserve"> of </w:t>
      </w:r>
      <w:r w:rsidR="002F1E0F" w:rsidRPr="00412018">
        <w:t xml:space="preserve">eligible </w:t>
      </w:r>
      <w:r w:rsidR="00194219" w:rsidRPr="00412018">
        <w:t>project</w:t>
      </w:r>
      <w:r w:rsidR="00FF7737">
        <w:t xml:space="preserve"> costs. </w:t>
      </w:r>
    </w:p>
    <w:p w14:paraId="478FBDE2" w14:textId="633C3B6D" w:rsidR="00FF6B80" w:rsidRPr="00412018" w:rsidRDefault="00FF6B80" w:rsidP="00FF6B80">
      <w:pPr>
        <w:jc w:val="both"/>
      </w:pPr>
      <w:r w:rsidRPr="00412018">
        <w:t>An Applicant can apply for 50 per cent of costs up to a maximum of $5,000</w:t>
      </w:r>
      <w:r w:rsidR="000370F2">
        <w:t xml:space="preserve"> (excl. GST)</w:t>
      </w:r>
      <w:r w:rsidR="00C65BBE">
        <w:t xml:space="preserve"> for </w:t>
      </w:r>
      <w:r w:rsidR="009368E3">
        <w:t>t</w:t>
      </w:r>
      <w:r w:rsidR="00C65BBE">
        <w:t xml:space="preserve">rade </w:t>
      </w:r>
      <w:r w:rsidR="009368E3">
        <w:t>m</w:t>
      </w:r>
      <w:r w:rsidR="00C65BBE">
        <w:t>issions to pursue in</w:t>
      </w:r>
      <w:r w:rsidR="009368E3">
        <w:t>-</w:t>
      </w:r>
      <w:r w:rsidR="00C65BBE">
        <w:t>country collaboration and export opportunities</w:t>
      </w:r>
      <w:r w:rsidRPr="00412018">
        <w:t>.</w:t>
      </w:r>
    </w:p>
    <w:p w14:paraId="6F77390E" w14:textId="77777777" w:rsidR="00643B06" w:rsidRDefault="00643B06" w:rsidP="009127BB">
      <w:pPr>
        <w:jc w:val="both"/>
      </w:pPr>
      <w:r>
        <w:t>The Victorian Government reserves the right to offer a grant for a lower amount than that applied for by an Applicant.</w:t>
      </w:r>
    </w:p>
    <w:p w14:paraId="5945F0FD" w14:textId="18DFCCB7" w:rsidR="00120D10" w:rsidRDefault="00120D10" w:rsidP="009127BB">
      <w:pPr>
        <w:jc w:val="both"/>
      </w:pPr>
      <w:r>
        <w:t>Please note that funding will not be provided for retrospective activities (</w:t>
      </w:r>
      <w:r w:rsidR="00510AE3">
        <w:t>i.e.,</w:t>
      </w:r>
      <w:r>
        <w:t xml:space="preserve"> costs incurred before a Grant Agreement is signed). Grant recipients that commence their project prior to the execution of a Grant Agreement do so at their own risk.</w:t>
      </w:r>
    </w:p>
    <w:p w14:paraId="4432F7E5" w14:textId="4EFA2434" w:rsidR="00C80AF5" w:rsidRPr="00412018" w:rsidRDefault="00E87050" w:rsidP="00C80AF5">
      <w:pPr>
        <w:pStyle w:val="Heading5"/>
        <w:spacing w:after="240"/>
      </w:pPr>
      <w:r>
        <w:t>3.2</w:t>
      </w:r>
      <w:r w:rsidR="00D40ADC">
        <w:tab/>
      </w:r>
      <w:r w:rsidR="0089601A">
        <w:t>Project cash co-contribution</w:t>
      </w:r>
    </w:p>
    <w:p w14:paraId="60B3B833" w14:textId="6D4BB761" w:rsidR="00D25195" w:rsidRPr="00412018" w:rsidRDefault="00D25195" w:rsidP="00D25195">
      <w:pPr>
        <w:jc w:val="both"/>
      </w:pPr>
      <w:r w:rsidRPr="00412018">
        <w:t>Applicants are required to make a cash co-contribution based on a 1:1 funding ratio. In-kind contributions (</w:t>
      </w:r>
      <w:r w:rsidR="00510AE3" w:rsidRPr="00412018">
        <w:t>i.e.,</w:t>
      </w:r>
      <w:r w:rsidRPr="00412018">
        <w:t xml:space="preserve"> non-monetary resources) are excluded from any calculation of the cash co-contribution. Funds received from other </w:t>
      </w:r>
      <w:r w:rsidR="00510AE3" w:rsidRPr="00412018">
        <w:t>Victorian</w:t>
      </w:r>
      <w:r w:rsidRPr="00412018">
        <w:t xml:space="preserve"> or Commonwealth Government programs cannot form part of the cash co-contribution.</w:t>
      </w:r>
    </w:p>
    <w:p w14:paraId="6A27039F" w14:textId="0CC6F1F0" w:rsidR="00120D10" w:rsidRPr="00412018" w:rsidRDefault="00EB0CDA" w:rsidP="00B40095">
      <w:pPr>
        <w:pStyle w:val="Heading5"/>
        <w:spacing w:after="240"/>
      </w:pPr>
      <w:r w:rsidRPr="00412018">
        <w:t>3</w:t>
      </w:r>
      <w:r w:rsidR="00120D10" w:rsidRPr="00412018">
        <w:t>.</w:t>
      </w:r>
      <w:r w:rsidR="00D94168">
        <w:t>3</w:t>
      </w:r>
      <w:r w:rsidR="00120D10" w:rsidRPr="00412018">
        <w:tab/>
      </w:r>
      <w:r w:rsidR="00412018">
        <w:t>T</w:t>
      </w:r>
      <w:r w:rsidR="00120D10" w:rsidRPr="00412018">
        <w:t xml:space="preserve">ender </w:t>
      </w:r>
      <w:r w:rsidR="00412018">
        <w:t>r</w:t>
      </w:r>
      <w:r w:rsidR="00120D10" w:rsidRPr="00412018">
        <w:t xml:space="preserve">esponse </w:t>
      </w:r>
      <w:r w:rsidR="00412018">
        <w:t>a</w:t>
      </w:r>
      <w:r w:rsidR="00120D10" w:rsidRPr="00412018">
        <w:t>ssistance</w:t>
      </w:r>
      <w:r w:rsidR="00815E84">
        <w:t xml:space="preserve"> funding</w:t>
      </w:r>
    </w:p>
    <w:p w14:paraId="75C2DF0C" w14:textId="77777777" w:rsidR="00120D10" w:rsidRDefault="00120D10" w:rsidP="00AC56A7">
      <w:pPr>
        <w:jc w:val="both"/>
      </w:pPr>
      <w:r>
        <w:t>For project activities that support the development of a tender, the Grant Agreement will specify that a tender must be issued before the Department will pay any funds to a grant recipient. This will not prevent an Applicant and the Department from entering into a Grant Agreement prior to a tender being issued.</w:t>
      </w:r>
    </w:p>
    <w:p w14:paraId="4FF3CBF7" w14:textId="77777777" w:rsidR="00120D10" w:rsidRDefault="00120D10" w:rsidP="00AC56A7">
      <w:pPr>
        <w:jc w:val="both"/>
      </w:pPr>
      <w:r>
        <w:t>Funding will only be provided to the grant recipient after it has provided proof that its tender has been submitted.</w:t>
      </w:r>
    </w:p>
    <w:p w14:paraId="56E49F44" w14:textId="77777777" w:rsidR="00120D10" w:rsidRDefault="00120D10" w:rsidP="00AC56A7">
      <w:pPr>
        <w:jc w:val="both"/>
      </w:pPr>
      <w:r>
        <w:t>If the request for tender is cancelled before the grant recipient is able to submit the tender, the grant recipient will have to take immediate action to minimise any expenses incurred and the Department will pay up to 50 per cent of the Eligible Expenditure up to the amount of the grant.</w:t>
      </w:r>
    </w:p>
    <w:p w14:paraId="1BBEDA0F" w14:textId="5C6DDFE2" w:rsidR="00120D10" w:rsidRDefault="00120D10" w:rsidP="00AC56A7">
      <w:pPr>
        <w:jc w:val="both"/>
      </w:pPr>
      <w:r>
        <w:t>If a tender is cancelled after the grant recipient submits the tender, the Department will pay the full grant amount as specified in the Grant Agreement. A grant recipient must inform the Department of the outcome of the tender within two months of being notified of the result.</w:t>
      </w:r>
    </w:p>
    <w:p w14:paraId="4A07D470" w14:textId="0565F315" w:rsidR="00510AE3" w:rsidRDefault="00D40ADC" w:rsidP="00663B81">
      <w:pPr>
        <w:pStyle w:val="Heading5"/>
        <w:spacing w:after="240"/>
      </w:pPr>
      <w:r>
        <w:t>3.</w:t>
      </w:r>
      <w:r w:rsidR="00D94168">
        <w:t>4</w:t>
      </w:r>
      <w:r>
        <w:t xml:space="preserve"> </w:t>
      </w:r>
      <w:r>
        <w:tab/>
      </w:r>
      <w:r w:rsidR="00CD1E9B">
        <w:t xml:space="preserve">Grant refund requirements in the event of insufficient project delivery or expenditure </w:t>
      </w:r>
      <w:r w:rsidR="000E0909">
        <w:t xml:space="preserve"> </w:t>
      </w:r>
    </w:p>
    <w:p w14:paraId="7AB75317" w14:textId="5E319CAD" w:rsidR="00B05958" w:rsidRPr="00B05958" w:rsidRDefault="00D40ADC" w:rsidP="00AC56A7">
      <w:pPr>
        <w:jc w:val="both"/>
      </w:pPr>
      <w:r>
        <w:t>T</w:t>
      </w:r>
      <w:r w:rsidRPr="00D40ADC">
        <w:t>he Applicant should note that there may be circumstances in which any Grant amounts may be required to be refunded to the Department. These circumstances will be as set out in the Grant Agreement and may include (but are not limited to) where the Recipient has breached the Grant Agreement, failed to deliver the Project or has not spent the full Grant Amount</w:t>
      </w:r>
      <w:r>
        <w:t xml:space="preserve">. </w:t>
      </w:r>
    </w:p>
    <w:p w14:paraId="13782A69" w14:textId="73FF654E" w:rsidR="00D26A0A" w:rsidRDefault="00AA35E2" w:rsidP="00C813C1">
      <w:pPr>
        <w:pStyle w:val="Heading3"/>
        <w:numPr>
          <w:ilvl w:val="0"/>
          <w:numId w:val="12"/>
        </w:numPr>
        <w:ind w:left="714" w:hanging="357"/>
        <w:rPr>
          <w:b/>
          <w:bCs/>
          <w:sz w:val="32"/>
          <w:szCs w:val="32"/>
        </w:rPr>
      </w:pPr>
      <w:bookmarkStart w:id="3" w:name="_Toc105166750"/>
      <w:r w:rsidRPr="00796ED6">
        <w:rPr>
          <w:b/>
          <w:bCs/>
          <w:sz w:val="32"/>
          <w:szCs w:val="32"/>
        </w:rPr>
        <w:lastRenderedPageBreak/>
        <w:t>Applicant E</w:t>
      </w:r>
      <w:r w:rsidR="00D26A0A" w:rsidRPr="00796ED6">
        <w:rPr>
          <w:b/>
          <w:bCs/>
          <w:sz w:val="32"/>
          <w:szCs w:val="32"/>
        </w:rPr>
        <w:t>ligibility</w:t>
      </w:r>
      <w:bookmarkEnd w:id="3"/>
      <w:r w:rsidR="00D26A0A" w:rsidRPr="00796ED6">
        <w:rPr>
          <w:b/>
          <w:bCs/>
          <w:sz w:val="32"/>
          <w:szCs w:val="32"/>
        </w:rPr>
        <w:t xml:space="preserve"> </w:t>
      </w:r>
    </w:p>
    <w:p w14:paraId="6A223BA4" w14:textId="77777777" w:rsidR="00D25195" w:rsidRPr="00B05958" w:rsidRDefault="00D25195" w:rsidP="00F37FA7">
      <w:pPr>
        <w:rPr>
          <w:sz w:val="14"/>
          <w:szCs w:val="14"/>
        </w:rPr>
      </w:pPr>
    </w:p>
    <w:p w14:paraId="3FBC1A63" w14:textId="732A0D0E" w:rsidR="00D26A0A" w:rsidRPr="00796ED6" w:rsidRDefault="001D0951" w:rsidP="00C813C1">
      <w:pPr>
        <w:pStyle w:val="Heading5"/>
        <w:spacing w:after="240"/>
      </w:pPr>
      <w:r>
        <w:t>4</w:t>
      </w:r>
      <w:r w:rsidR="00D26A0A" w:rsidRPr="00796ED6">
        <w:t>.1</w:t>
      </w:r>
      <w:r w:rsidR="00D26A0A" w:rsidRPr="00796ED6">
        <w:tab/>
      </w:r>
      <w:r w:rsidR="00796ED6">
        <w:t xml:space="preserve">Eligible applicants </w:t>
      </w:r>
    </w:p>
    <w:p w14:paraId="2E4D22DB" w14:textId="6B66036D" w:rsidR="00D26A0A" w:rsidRDefault="00D26A0A" w:rsidP="006F35BA">
      <w:pPr>
        <w:jc w:val="both"/>
      </w:pPr>
      <w:r>
        <w:t xml:space="preserve">Applicants must meet </w:t>
      </w:r>
      <w:r w:rsidR="00EA38EA">
        <w:t xml:space="preserve">each of </w:t>
      </w:r>
      <w:r>
        <w:t>the following criteria to be eligible for assistance under this Program:</w:t>
      </w:r>
    </w:p>
    <w:p w14:paraId="603EEBB2" w14:textId="661D6A59" w:rsidR="00D26A0A" w:rsidRPr="007D3418" w:rsidRDefault="00561006" w:rsidP="006F35BA">
      <w:pPr>
        <w:pStyle w:val="ListParagraph"/>
        <w:numPr>
          <w:ilvl w:val="0"/>
          <w:numId w:val="2"/>
        </w:numPr>
        <w:jc w:val="both"/>
      </w:pPr>
      <w:r>
        <w:t>have</w:t>
      </w:r>
      <w:r w:rsidR="00D26A0A">
        <w:t xml:space="preserve"> Hanwha’s support for </w:t>
      </w:r>
      <w:r w:rsidR="009D16BB">
        <w:t>its</w:t>
      </w:r>
      <w:r w:rsidR="009B7C2C">
        <w:t xml:space="preserve"> application to this program</w:t>
      </w:r>
      <w:r w:rsidR="001208DC">
        <w:t xml:space="preserve"> </w:t>
      </w:r>
      <w:r w:rsidR="001208DC" w:rsidRPr="007D3418">
        <w:t xml:space="preserve">(please note the department may verify </w:t>
      </w:r>
      <w:r w:rsidR="00911576" w:rsidRPr="007D3418">
        <w:t>your claim with Hanwha)</w:t>
      </w:r>
    </w:p>
    <w:p w14:paraId="3FA5FA97" w14:textId="64AD4BC7" w:rsidR="000F70C5" w:rsidRPr="007D3418" w:rsidRDefault="00D26A0A" w:rsidP="006F35BA">
      <w:pPr>
        <w:pStyle w:val="ListParagraph"/>
        <w:numPr>
          <w:ilvl w:val="0"/>
          <w:numId w:val="2"/>
        </w:numPr>
        <w:jc w:val="both"/>
      </w:pPr>
      <w:r w:rsidRPr="007D3418">
        <w:t xml:space="preserve">be a legal entity </w:t>
      </w:r>
      <w:r w:rsidR="009D6AF8" w:rsidRPr="007D3418">
        <w:t>with</w:t>
      </w:r>
      <w:r w:rsidRPr="007D3418">
        <w:t xml:space="preserve"> an operating business presence in Victoria</w:t>
      </w:r>
    </w:p>
    <w:p w14:paraId="330E3777" w14:textId="7739D2A7" w:rsidR="00D26A0A" w:rsidRPr="007D3418" w:rsidRDefault="000437D0" w:rsidP="006F35BA">
      <w:pPr>
        <w:pStyle w:val="ListParagraph"/>
        <w:numPr>
          <w:ilvl w:val="0"/>
          <w:numId w:val="2"/>
        </w:numPr>
        <w:jc w:val="both"/>
      </w:pPr>
      <w:r w:rsidRPr="007D3418">
        <w:t xml:space="preserve">submit an </w:t>
      </w:r>
      <w:r w:rsidR="00D26A0A" w:rsidRPr="007D3418">
        <w:t xml:space="preserve">application </w:t>
      </w:r>
      <w:r w:rsidR="002263DA" w:rsidRPr="007D3418">
        <w:t>for activit</w:t>
      </w:r>
      <w:r w:rsidR="00796ED6" w:rsidRPr="007D3418">
        <w:t>ies</w:t>
      </w:r>
      <w:r w:rsidR="00D26A0A" w:rsidRPr="007D3418">
        <w:t xml:space="preserve"> linked directly to </w:t>
      </w:r>
      <w:r w:rsidR="00712E7C" w:rsidRPr="007D3418">
        <w:t xml:space="preserve">the </w:t>
      </w:r>
      <w:r w:rsidR="002C4ABB">
        <w:t>a</w:t>
      </w:r>
      <w:r w:rsidR="00D26A0A" w:rsidRPr="007D3418">
        <w:t xml:space="preserve">pplicant’s </w:t>
      </w:r>
      <w:r w:rsidR="00E422DB" w:rsidRPr="007D3418">
        <w:t xml:space="preserve">Victorian </w:t>
      </w:r>
      <w:r w:rsidR="00D26A0A" w:rsidRPr="007D3418">
        <w:t xml:space="preserve">business operations </w:t>
      </w:r>
    </w:p>
    <w:p w14:paraId="4372910B" w14:textId="5B1DDA05" w:rsidR="00D26A0A" w:rsidRDefault="00D26A0A" w:rsidP="006F35BA">
      <w:pPr>
        <w:pStyle w:val="ListParagraph"/>
        <w:numPr>
          <w:ilvl w:val="0"/>
          <w:numId w:val="2"/>
        </w:numPr>
        <w:jc w:val="both"/>
      </w:pPr>
      <w:r>
        <w:t>have an Australian Business Number (ABN)</w:t>
      </w:r>
    </w:p>
    <w:p w14:paraId="1D333168" w14:textId="2F56D062" w:rsidR="00D26A0A" w:rsidRDefault="00D26A0A" w:rsidP="006F35BA">
      <w:pPr>
        <w:pStyle w:val="ListParagraph"/>
        <w:numPr>
          <w:ilvl w:val="0"/>
          <w:numId w:val="2"/>
        </w:numPr>
        <w:jc w:val="both"/>
      </w:pPr>
      <w:r>
        <w:t>be able to meet the required cash co-contribution ($1 for every $1 provided)</w:t>
      </w:r>
    </w:p>
    <w:p w14:paraId="738DFA3A" w14:textId="698129F5" w:rsidR="00D26A0A" w:rsidRDefault="007D3418" w:rsidP="006F35BA">
      <w:pPr>
        <w:pStyle w:val="ListParagraph"/>
        <w:numPr>
          <w:ilvl w:val="0"/>
          <w:numId w:val="2"/>
        </w:numPr>
        <w:jc w:val="both"/>
      </w:pPr>
      <w:r>
        <w:t>attest that the business</w:t>
      </w:r>
      <w:r w:rsidR="00D26A0A">
        <w:t xml:space="preserve"> compl</w:t>
      </w:r>
      <w:r>
        <w:t>ies</w:t>
      </w:r>
      <w:r w:rsidR="00D26A0A">
        <w:t xml:space="preserve"> with all workplace health and safety obligations</w:t>
      </w:r>
      <w:r w:rsidR="00355893">
        <w:t xml:space="preserve"> and </w:t>
      </w:r>
      <w:r w:rsidR="00D26A0A">
        <w:t xml:space="preserve">meets all industrial relations obligations as an employer. </w:t>
      </w:r>
    </w:p>
    <w:p w14:paraId="28C56826" w14:textId="29720F25" w:rsidR="00D26A0A" w:rsidRDefault="00D26A0A" w:rsidP="00D26A0A">
      <w:r>
        <w:t>Preference will be given to SMEs seeking to access the program</w:t>
      </w:r>
      <w:r w:rsidR="00796ED6">
        <w:t xml:space="preserve">; </w:t>
      </w:r>
      <w:r w:rsidR="00A07F04">
        <w:t>however,</w:t>
      </w:r>
      <w:r w:rsidR="00796ED6">
        <w:t xml:space="preserve"> c</w:t>
      </w:r>
      <w:r>
        <w:t xml:space="preserve">ompanies with </w:t>
      </w:r>
      <w:r w:rsidR="00412018">
        <w:t>over</w:t>
      </w:r>
      <w:r>
        <w:t xml:space="preserve"> 200 employees can apply and will be assessed on a case-by-case basis. </w:t>
      </w:r>
      <w:r w:rsidR="00D36C6A">
        <w:t xml:space="preserve">For the purposes of </w:t>
      </w:r>
      <w:r w:rsidR="00230DB4">
        <w:t xml:space="preserve">the </w:t>
      </w:r>
      <w:r w:rsidR="001E72FE">
        <w:t>Program</w:t>
      </w:r>
      <w:r w:rsidR="00D36C6A">
        <w:t xml:space="preserve">, an SME is defined </w:t>
      </w:r>
      <w:r w:rsidR="001216AB">
        <w:t xml:space="preserve">as </w:t>
      </w:r>
      <w:r w:rsidR="000252E7">
        <w:t xml:space="preserve">a company with 200 or fewer employees. </w:t>
      </w:r>
    </w:p>
    <w:p w14:paraId="078DCD2B" w14:textId="77777777" w:rsidR="00796ED6" w:rsidRDefault="00796ED6" w:rsidP="00B40095">
      <w:pPr>
        <w:pStyle w:val="Heading5"/>
        <w:spacing w:after="240"/>
      </w:pPr>
      <w:r>
        <w:t>4</w:t>
      </w:r>
      <w:r w:rsidRPr="00796ED6">
        <w:t>.</w:t>
      </w:r>
      <w:r>
        <w:t>2</w:t>
      </w:r>
      <w:r w:rsidRPr="00796ED6">
        <w:tab/>
      </w:r>
      <w:r>
        <w:t xml:space="preserve">Ineligible applicants </w:t>
      </w:r>
    </w:p>
    <w:p w14:paraId="383954FE" w14:textId="724CCE28" w:rsidR="00D26A0A" w:rsidRDefault="00D26A0A" w:rsidP="00D26A0A">
      <w:r>
        <w:t>The following entities are not eligible to apply:</w:t>
      </w:r>
    </w:p>
    <w:p w14:paraId="4D45B6E6" w14:textId="182ACDE3" w:rsidR="00A451E8" w:rsidRDefault="00D26A0A" w:rsidP="00D26A0A">
      <w:pPr>
        <w:pStyle w:val="ListParagraph"/>
        <w:numPr>
          <w:ilvl w:val="0"/>
          <w:numId w:val="2"/>
        </w:numPr>
      </w:pPr>
      <w:r>
        <w:t>individuals</w:t>
      </w:r>
      <w:r w:rsidR="00796ED6">
        <w:t xml:space="preserve"> and </w:t>
      </w:r>
      <w:r>
        <w:t xml:space="preserve">partnerships </w:t>
      </w:r>
    </w:p>
    <w:p w14:paraId="4E38200C" w14:textId="0E7AB248" w:rsidR="00D26A0A" w:rsidRDefault="00D26A0A" w:rsidP="00D26A0A">
      <w:pPr>
        <w:pStyle w:val="ListParagraph"/>
        <w:numPr>
          <w:ilvl w:val="0"/>
          <w:numId w:val="2"/>
        </w:numPr>
      </w:pPr>
      <w:r>
        <w:t>Commonwealth, State and Local Government agencies and bodies</w:t>
      </w:r>
    </w:p>
    <w:p w14:paraId="3AD93938" w14:textId="4D843A3E" w:rsidR="00D26A0A" w:rsidRPr="00D26A0A" w:rsidRDefault="00D26A0A" w:rsidP="00D26A0A">
      <w:pPr>
        <w:pStyle w:val="ListParagraph"/>
        <w:numPr>
          <w:ilvl w:val="0"/>
          <w:numId w:val="2"/>
        </w:numPr>
      </w:pPr>
      <w:r>
        <w:t xml:space="preserve">publicly funded research institutions. </w:t>
      </w:r>
    </w:p>
    <w:p w14:paraId="34C08E6B" w14:textId="77777777" w:rsidR="00165A31" w:rsidRDefault="00165A31" w:rsidP="00063059">
      <w:pPr>
        <w:pStyle w:val="ListParagraph"/>
        <w:ind w:left="1080"/>
      </w:pPr>
    </w:p>
    <w:p w14:paraId="2DC9573F" w14:textId="77777777" w:rsidR="00165A31" w:rsidRDefault="00165A31" w:rsidP="00796ED6">
      <w:pPr>
        <w:pStyle w:val="Heading3"/>
        <w:numPr>
          <w:ilvl w:val="0"/>
          <w:numId w:val="12"/>
        </w:numPr>
        <w:rPr>
          <w:b/>
          <w:bCs/>
          <w:sz w:val="32"/>
          <w:szCs w:val="32"/>
        </w:rPr>
      </w:pPr>
      <w:bookmarkStart w:id="4" w:name="_Toc105166751"/>
      <w:r w:rsidRPr="00B87E05">
        <w:rPr>
          <w:b/>
          <w:bCs/>
          <w:sz w:val="32"/>
          <w:szCs w:val="32"/>
        </w:rPr>
        <w:t xml:space="preserve">Eligible </w:t>
      </w:r>
      <w:r>
        <w:rPr>
          <w:b/>
          <w:bCs/>
          <w:sz w:val="32"/>
          <w:szCs w:val="32"/>
        </w:rPr>
        <w:t>projects</w:t>
      </w:r>
      <w:bookmarkEnd w:id="4"/>
    </w:p>
    <w:p w14:paraId="74E8FA7E" w14:textId="1000E1D2" w:rsidR="00F710C6" w:rsidRPr="00AB1622" w:rsidRDefault="00165A31" w:rsidP="005A747D">
      <w:pPr>
        <w:jc w:val="both"/>
      </w:pPr>
      <w:r>
        <w:br/>
      </w:r>
      <w:r w:rsidR="00466FCD" w:rsidRPr="002C4ABB">
        <w:t xml:space="preserve">An eligible project must </w:t>
      </w:r>
      <w:r w:rsidR="008A34B0" w:rsidRPr="002C4ABB">
        <w:t>assist</w:t>
      </w:r>
      <w:r w:rsidR="00466FCD" w:rsidRPr="002C4ABB">
        <w:t xml:space="preserve"> the applicant’s entry </w:t>
      </w:r>
      <w:r w:rsidR="005E45D8" w:rsidRPr="002C4ABB">
        <w:t>into</w:t>
      </w:r>
      <w:r w:rsidR="00466FCD" w:rsidRPr="002C4ABB">
        <w:t xml:space="preserve"> Hanwha’s domestic and/or international supply chains</w:t>
      </w:r>
      <w:r w:rsidR="00656E2F" w:rsidRPr="002C4ABB">
        <w:t xml:space="preserve"> and </w:t>
      </w:r>
      <w:r w:rsidR="008A34B0" w:rsidRPr="002C4ABB">
        <w:t xml:space="preserve">support the development of </w:t>
      </w:r>
      <w:r w:rsidR="006042CD" w:rsidRPr="002C4ABB">
        <w:t xml:space="preserve">the business’ </w:t>
      </w:r>
      <w:r w:rsidR="00385A15" w:rsidRPr="002C4ABB">
        <w:t>Victorian based operations.</w:t>
      </w:r>
    </w:p>
    <w:p w14:paraId="3F690674" w14:textId="37A7DE90" w:rsidR="00165A31" w:rsidRDefault="00165A31" w:rsidP="005A747D">
      <w:pPr>
        <w:jc w:val="both"/>
      </w:pPr>
      <w:r>
        <w:t>Where an applicant is seeking support to win work in a foreign market, satisfactory evidence must be provided to verify that any direct exports by the Applicant will be allowed under relevant Australian and international laws. For, regulations governing the export of defence and strategic goods and technologies</w:t>
      </w:r>
      <w:r w:rsidRPr="00230705">
        <w:t xml:space="preserve">, </w:t>
      </w:r>
      <w:r w:rsidRPr="00796ED6">
        <w:t xml:space="preserve">see: </w:t>
      </w:r>
      <w:hyperlink r:id="rId13" w:history="1">
        <w:r w:rsidR="005A747D" w:rsidRPr="00803862">
          <w:rPr>
            <w:rStyle w:val="Hyperlink"/>
          </w:rPr>
          <w:t>www.defence.gov.au/ExportControls/Default.asp</w:t>
        </w:r>
      </w:hyperlink>
      <w:r w:rsidRPr="00796ED6">
        <w:t>.</w:t>
      </w:r>
    </w:p>
    <w:p w14:paraId="3B296C87" w14:textId="77777777" w:rsidR="00165A31" w:rsidRDefault="00165A31" w:rsidP="005A747D">
      <w:pPr>
        <w:jc w:val="both"/>
      </w:pPr>
      <w:r>
        <w:t>For grants to fund the cost of an audit to obtain a certification, funding will only be provided to a grant recipient after it has successfully provided proof of certification.</w:t>
      </w:r>
    </w:p>
    <w:p w14:paraId="670E9896" w14:textId="77777777" w:rsidR="0087670A" w:rsidRDefault="0087670A" w:rsidP="005A747D">
      <w:pPr>
        <w:jc w:val="both"/>
      </w:pPr>
    </w:p>
    <w:p w14:paraId="50A6ACEF" w14:textId="77777777" w:rsidR="0087670A" w:rsidRDefault="0087670A" w:rsidP="005A747D">
      <w:pPr>
        <w:jc w:val="both"/>
      </w:pPr>
    </w:p>
    <w:p w14:paraId="6B251FB1" w14:textId="77777777" w:rsidR="0087670A" w:rsidRDefault="0087670A" w:rsidP="005A747D">
      <w:pPr>
        <w:jc w:val="both"/>
      </w:pPr>
    </w:p>
    <w:p w14:paraId="0F761187" w14:textId="77777777" w:rsidR="00522E8F" w:rsidRDefault="00522E8F" w:rsidP="005A747D">
      <w:pPr>
        <w:jc w:val="both"/>
      </w:pPr>
    </w:p>
    <w:p w14:paraId="2028547A" w14:textId="6AB166AA" w:rsidR="00E274FB" w:rsidRDefault="00796ED6" w:rsidP="00EF7F97">
      <w:pPr>
        <w:pStyle w:val="Heading5"/>
        <w:spacing w:after="240"/>
      </w:pPr>
      <w:r w:rsidRPr="002C4ABB">
        <w:lastRenderedPageBreak/>
        <w:t>5.</w:t>
      </w:r>
      <w:r w:rsidR="00B652AB">
        <w:t>1</w:t>
      </w:r>
      <w:r w:rsidRPr="002C4ABB">
        <w:t xml:space="preserve"> </w:t>
      </w:r>
      <w:r w:rsidR="00E274FB" w:rsidRPr="002C4ABB">
        <w:t>Eligible Activities</w:t>
      </w:r>
    </w:p>
    <w:p w14:paraId="7B36223A" w14:textId="5F4CBF86" w:rsidR="00165A31" w:rsidRPr="00796ED6" w:rsidRDefault="00165A31" w:rsidP="005A747D">
      <w:pPr>
        <w:jc w:val="both"/>
      </w:pPr>
      <w:r>
        <w:t xml:space="preserve">An Applicant can apply for funding comprising of </w:t>
      </w:r>
      <w:r w:rsidR="00B064AE">
        <w:t>several</w:t>
      </w:r>
      <w:r>
        <w:t xml:space="preserve"> different activities</w:t>
      </w:r>
      <w:r w:rsidR="000370F2">
        <w:t xml:space="preserve"> as follows:</w:t>
      </w:r>
    </w:p>
    <w:tbl>
      <w:tblPr>
        <w:tblStyle w:val="TableGrid"/>
        <w:tblW w:w="0" w:type="auto"/>
        <w:tblLook w:val="04A0" w:firstRow="1" w:lastRow="0" w:firstColumn="1" w:lastColumn="0" w:noHBand="0" w:noVBand="1"/>
      </w:tblPr>
      <w:tblGrid>
        <w:gridCol w:w="2689"/>
        <w:gridCol w:w="6327"/>
      </w:tblGrid>
      <w:tr w:rsidR="00165A31" w14:paraId="6DBC08EF" w14:textId="77777777" w:rsidTr="00055C05">
        <w:tc>
          <w:tcPr>
            <w:tcW w:w="2689" w:type="dxa"/>
            <w:shd w:val="clear" w:color="auto" w:fill="0070C0"/>
          </w:tcPr>
          <w:p w14:paraId="66CC0C65" w14:textId="77777777" w:rsidR="00165A31" w:rsidRPr="00D26A0A" w:rsidRDefault="00165A31" w:rsidP="00055C05">
            <w:pPr>
              <w:rPr>
                <w:b/>
                <w:bCs/>
                <w:color w:val="FFFFFF" w:themeColor="background1"/>
              </w:rPr>
            </w:pPr>
            <w:r w:rsidRPr="00D26A0A">
              <w:rPr>
                <w:b/>
                <w:bCs/>
                <w:color w:val="FFFFFF" w:themeColor="background1"/>
              </w:rPr>
              <w:t>Project activity</w:t>
            </w:r>
          </w:p>
        </w:tc>
        <w:tc>
          <w:tcPr>
            <w:tcW w:w="6327" w:type="dxa"/>
            <w:shd w:val="clear" w:color="auto" w:fill="0070C0"/>
          </w:tcPr>
          <w:p w14:paraId="3D046C50" w14:textId="77777777" w:rsidR="00165A31" w:rsidRPr="00D26A0A" w:rsidRDefault="00165A31" w:rsidP="00055C05">
            <w:pPr>
              <w:rPr>
                <w:b/>
                <w:bCs/>
                <w:color w:val="FFFFFF" w:themeColor="background1"/>
              </w:rPr>
            </w:pPr>
            <w:r w:rsidRPr="00D26A0A">
              <w:rPr>
                <w:b/>
                <w:bCs/>
                <w:color w:val="FFFFFF" w:themeColor="background1"/>
              </w:rPr>
              <w:t>Description</w:t>
            </w:r>
          </w:p>
        </w:tc>
      </w:tr>
      <w:tr w:rsidR="00165A31" w14:paraId="727E930D" w14:textId="77777777" w:rsidTr="00055C05">
        <w:tc>
          <w:tcPr>
            <w:tcW w:w="2689" w:type="dxa"/>
          </w:tcPr>
          <w:p w14:paraId="61AFAACA" w14:textId="77777777" w:rsidR="00165A31" w:rsidRDefault="00165A31" w:rsidP="00055C05">
            <w:r w:rsidRPr="00D26A0A">
              <w:t>Business systems and process certifications</w:t>
            </w:r>
          </w:p>
        </w:tc>
        <w:tc>
          <w:tcPr>
            <w:tcW w:w="6327" w:type="dxa"/>
          </w:tcPr>
          <w:p w14:paraId="2B37EBDD" w14:textId="5CB7C4A3" w:rsidR="00165A31" w:rsidRPr="00D973FA" w:rsidRDefault="00796ED6" w:rsidP="00055C05">
            <w:pPr>
              <w:rPr>
                <w:sz w:val="16"/>
                <w:szCs w:val="16"/>
              </w:rPr>
            </w:pPr>
            <w:r>
              <w:t>A</w:t>
            </w:r>
            <w:r w:rsidR="00165A31">
              <w:t>ctivities (including formal external audits) associated with achieving business systems and process certifications that are relevant to the defence or national security industries.</w:t>
            </w:r>
            <w:r w:rsidR="00165A31">
              <w:br/>
            </w:r>
          </w:p>
          <w:p w14:paraId="1B604704" w14:textId="77777777" w:rsidR="00165A31" w:rsidRDefault="00165A31" w:rsidP="00055C05">
            <w:r>
              <w:t>Certifications may include, but are not restricted to: ISO 9001, AS 9100, AS 9110, AS 9120, National Aerospace and Defence Contractors Accreditation Program (Nadcap). Certifications may also include those specified by a higher tiered contractor.</w:t>
            </w:r>
          </w:p>
          <w:p w14:paraId="5791341A" w14:textId="77777777" w:rsidR="00165A31" w:rsidRPr="00D973FA" w:rsidRDefault="00165A31" w:rsidP="00055C05">
            <w:pPr>
              <w:rPr>
                <w:sz w:val="16"/>
                <w:szCs w:val="16"/>
              </w:rPr>
            </w:pPr>
          </w:p>
          <w:p w14:paraId="7888A681" w14:textId="77777777" w:rsidR="00165A31" w:rsidRDefault="00165A31" w:rsidP="00055C05">
            <w:r>
              <w:t>Grants will only be provided for first-time certification audits or transition audits to help companies obtain revised process and system certifications i.e. ISO 9001:2008 to ISO 9001:2015.</w:t>
            </w:r>
          </w:p>
          <w:p w14:paraId="2D6893A2" w14:textId="77777777" w:rsidR="00165A31" w:rsidRDefault="00165A31" w:rsidP="00055C05">
            <w:r>
              <w:t>Grants can be used to fund the cost of any external audits that are required to obtain a certification, for example, audits for ISO 9001 certification.</w:t>
            </w:r>
          </w:p>
          <w:p w14:paraId="1FF46F91" w14:textId="77777777" w:rsidR="00165A31" w:rsidRPr="00D973FA" w:rsidRDefault="00165A31" w:rsidP="00055C05">
            <w:pPr>
              <w:rPr>
                <w:sz w:val="16"/>
                <w:szCs w:val="16"/>
              </w:rPr>
            </w:pPr>
          </w:p>
          <w:p w14:paraId="7F68CC9D" w14:textId="77777777" w:rsidR="00165A31" w:rsidRDefault="00165A31" w:rsidP="00055C05">
            <w:r>
              <w:t>Please note, grants will not be provided to fund surveillance audits or re-certification audits.</w:t>
            </w:r>
          </w:p>
        </w:tc>
      </w:tr>
      <w:tr w:rsidR="00165A31" w14:paraId="256500C3" w14:textId="77777777" w:rsidTr="00055C05">
        <w:tc>
          <w:tcPr>
            <w:tcW w:w="2689" w:type="dxa"/>
          </w:tcPr>
          <w:p w14:paraId="7CDC48D7" w14:textId="290B5CD9" w:rsidR="00165A31" w:rsidRDefault="00165A31" w:rsidP="00055C05">
            <w:r w:rsidRPr="00D26A0A">
              <w:t>Tender response assistance</w:t>
            </w:r>
          </w:p>
          <w:p w14:paraId="29E34855" w14:textId="77777777" w:rsidR="00165A31" w:rsidRDefault="00165A31" w:rsidP="00055C05"/>
        </w:tc>
        <w:tc>
          <w:tcPr>
            <w:tcW w:w="6327" w:type="dxa"/>
          </w:tcPr>
          <w:p w14:paraId="0F5AB1D5" w14:textId="77777777" w:rsidR="00165A31" w:rsidRDefault="00165A31" w:rsidP="00055C05">
            <w:r w:rsidRPr="00D26A0A">
              <w:t>Grants are available to Victorian SMEs that require expert assistance preparing tenders. Such assistance could include engaging consultants to write tenders, undertaking tender writing training, or third-party testing of products to confirm they meet tender specifications.</w:t>
            </w:r>
          </w:p>
        </w:tc>
      </w:tr>
      <w:tr w:rsidR="00165A31" w14:paraId="2B155773" w14:textId="77777777" w:rsidTr="00055C05">
        <w:tc>
          <w:tcPr>
            <w:tcW w:w="2689" w:type="dxa"/>
          </w:tcPr>
          <w:p w14:paraId="2EDAFE26" w14:textId="77777777" w:rsidR="00165A31" w:rsidRDefault="00165A31" w:rsidP="00055C05">
            <w:r w:rsidRPr="00D26A0A">
              <w:t>Industry specific compliance requirements</w:t>
            </w:r>
          </w:p>
        </w:tc>
        <w:tc>
          <w:tcPr>
            <w:tcW w:w="6327" w:type="dxa"/>
          </w:tcPr>
          <w:p w14:paraId="2254D252" w14:textId="6A0E1949" w:rsidR="00165A31" w:rsidRDefault="00165A31" w:rsidP="00055C05">
            <w:r w:rsidRPr="00D26A0A">
              <w:t>Grants are available to Victorian SMEs to undertake activities that will help to meet industry specific compliance requirements such as, ITAR and DISP</w:t>
            </w:r>
            <w:r w:rsidR="007209B6">
              <w:t xml:space="preserve"> and other relevant cyber and/or security requirements</w:t>
            </w:r>
            <w:r w:rsidRPr="00D26A0A">
              <w:t>.</w:t>
            </w:r>
          </w:p>
        </w:tc>
      </w:tr>
      <w:tr w:rsidR="00165A31" w14:paraId="02B46BCE" w14:textId="77777777" w:rsidTr="00055C05">
        <w:tc>
          <w:tcPr>
            <w:tcW w:w="2689" w:type="dxa"/>
          </w:tcPr>
          <w:p w14:paraId="6CC8B170" w14:textId="77777777" w:rsidR="00165A31" w:rsidRDefault="00165A31" w:rsidP="00055C05">
            <w:r w:rsidRPr="00D26A0A">
              <w:t>Supply chain collaboration activities</w:t>
            </w:r>
          </w:p>
        </w:tc>
        <w:tc>
          <w:tcPr>
            <w:tcW w:w="6327" w:type="dxa"/>
          </w:tcPr>
          <w:p w14:paraId="6A4C0DA5" w14:textId="77777777" w:rsidR="00165A31" w:rsidRDefault="00165A31" w:rsidP="00055C05">
            <w:r w:rsidRPr="00D26A0A">
              <w:t>Grants are available to Victorian SMEs to facilitate introductions to and collaboration with Hanwha’s global and South Korean supply chain partners, as well as direct entry by Victorian companies into Hanwha’s global supply chains.</w:t>
            </w:r>
          </w:p>
        </w:tc>
      </w:tr>
      <w:tr w:rsidR="00165A31" w14:paraId="3DF0C675" w14:textId="77777777" w:rsidTr="00055C05">
        <w:tc>
          <w:tcPr>
            <w:tcW w:w="2689" w:type="dxa"/>
          </w:tcPr>
          <w:p w14:paraId="5E9870C9" w14:textId="77777777" w:rsidR="00165A31" w:rsidRDefault="00165A31" w:rsidP="00055C05">
            <w:r w:rsidRPr="00D26A0A">
              <w:t>Development of defence R&amp;D and technology transfer activities</w:t>
            </w:r>
          </w:p>
        </w:tc>
        <w:tc>
          <w:tcPr>
            <w:tcW w:w="6327" w:type="dxa"/>
          </w:tcPr>
          <w:p w14:paraId="192BBCA5" w14:textId="467F9B46" w:rsidR="0087670A" w:rsidRDefault="00165A31" w:rsidP="00055C05">
            <w:r w:rsidRPr="00D26A0A">
              <w:t>Grants are available to Victorian SMEs to facilitate collaboration on defence R&amp;D activities and intellectual property transfer opportunities.</w:t>
            </w:r>
          </w:p>
        </w:tc>
      </w:tr>
      <w:tr w:rsidR="003D45A8" w14:paraId="4DFD9238" w14:textId="77777777" w:rsidTr="00055C05">
        <w:tc>
          <w:tcPr>
            <w:tcW w:w="2689" w:type="dxa"/>
          </w:tcPr>
          <w:p w14:paraId="486A73FF" w14:textId="1890E3C2" w:rsidR="003D45A8" w:rsidRPr="00D26A0A" w:rsidRDefault="003D45A8" w:rsidP="00055C05">
            <w:r>
              <w:t>Product development</w:t>
            </w:r>
          </w:p>
        </w:tc>
        <w:tc>
          <w:tcPr>
            <w:tcW w:w="6327" w:type="dxa"/>
          </w:tcPr>
          <w:p w14:paraId="36F0C68B" w14:textId="5A69AAD4" w:rsidR="003D45A8" w:rsidRPr="00D26A0A" w:rsidRDefault="0092261F" w:rsidP="003832A2">
            <w:r>
              <w:t>Grants are available to support i</w:t>
            </w:r>
            <w:r w:rsidRPr="0092261F">
              <w:t xml:space="preserve">nvestments </w:t>
            </w:r>
            <w:r>
              <w:t xml:space="preserve">by companies to engage </w:t>
            </w:r>
            <w:r w:rsidRPr="0092261F">
              <w:t>in product design</w:t>
            </w:r>
            <w:r>
              <w:t xml:space="preserve"> and</w:t>
            </w:r>
            <w:r w:rsidRPr="0092261F">
              <w:t xml:space="preserve"> customisation</w:t>
            </w:r>
            <w:r w:rsidR="00717032">
              <w:t xml:space="preserve"> for potential products</w:t>
            </w:r>
            <w:r w:rsidR="00E67F5A">
              <w:t xml:space="preserve">. This may </w:t>
            </w:r>
            <w:r w:rsidRPr="0092261F">
              <w:t>includ</w:t>
            </w:r>
            <w:r w:rsidR="00E67F5A">
              <w:t>e expenditure on activities such as</w:t>
            </w:r>
            <w:r w:rsidR="00717032">
              <w:t xml:space="preserve"> </w:t>
            </w:r>
            <w:r w:rsidRPr="0092261F">
              <w:t>tooling</w:t>
            </w:r>
            <w:r w:rsidR="00717032">
              <w:t xml:space="preserve">, </w:t>
            </w:r>
            <w:r w:rsidRPr="0092261F">
              <w:t xml:space="preserve">testing </w:t>
            </w:r>
            <w:r w:rsidR="00717032">
              <w:t xml:space="preserve">and the </w:t>
            </w:r>
            <w:r w:rsidR="00F35569">
              <w:t>purch</w:t>
            </w:r>
            <w:r w:rsidR="00717032">
              <w:t xml:space="preserve">ase of </w:t>
            </w:r>
            <w:r w:rsidRPr="0092261F">
              <w:t xml:space="preserve">materials </w:t>
            </w:r>
            <w:r w:rsidR="00717032">
              <w:t>and</w:t>
            </w:r>
            <w:r w:rsidRPr="0092261F">
              <w:t xml:space="preserve"> develop</w:t>
            </w:r>
            <w:r w:rsidR="00717032">
              <w:t>ment</w:t>
            </w:r>
            <w:r w:rsidRPr="0092261F">
              <w:t xml:space="preserve"> </w:t>
            </w:r>
            <w:r w:rsidR="00E67F5A">
              <w:t xml:space="preserve">of </w:t>
            </w:r>
            <w:r w:rsidRPr="0092261F">
              <w:t>prototypes</w:t>
            </w:r>
            <w:r w:rsidR="00E67F5A">
              <w:t>.</w:t>
            </w:r>
          </w:p>
        </w:tc>
      </w:tr>
    </w:tbl>
    <w:p w14:paraId="6FCD6FB4" w14:textId="77777777" w:rsidR="00AB1622" w:rsidRPr="00AB1622" w:rsidRDefault="00A451E8" w:rsidP="00AB1622">
      <w:pPr>
        <w:pStyle w:val="Heading3"/>
        <w:numPr>
          <w:ilvl w:val="0"/>
          <w:numId w:val="12"/>
        </w:numPr>
        <w:rPr>
          <w:b/>
          <w:bCs/>
          <w:sz w:val="20"/>
          <w:szCs w:val="20"/>
        </w:rPr>
      </w:pPr>
      <w:bookmarkStart w:id="5" w:name="_Toc105166752"/>
      <w:r w:rsidRPr="00343E8E">
        <w:rPr>
          <w:b/>
          <w:bCs/>
          <w:sz w:val="32"/>
          <w:szCs w:val="32"/>
        </w:rPr>
        <w:lastRenderedPageBreak/>
        <w:t>Eligible expenditure</w:t>
      </w:r>
      <w:bookmarkEnd w:id="5"/>
      <w:r w:rsidRPr="00343E8E">
        <w:rPr>
          <w:b/>
          <w:bCs/>
          <w:sz w:val="32"/>
          <w:szCs w:val="32"/>
        </w:rPr>
        <w:t xml:space="preserve"> </w:t>
      </w:r>
    </w:p>
    <w:p w14:paraId="723A664F" w14:textId="37BF7A62" w:rsidR="00A451E8" w:rsidRPr="00AB1622" w:rsidRDefault="000370F2" w:rsidP="00AB1622">
      <w:pPr>
        <w:pStyle w:val="Heading3"/>
        <w:rPr>
          <w:b/>
          <w:bCs/>
          <w:sz w:val="20"/>
          <w:szCs w:val="20"/>
        </w:rPr>
      </w:pPr>
      <w:bookmarkStart w:id="6" w:name="_Toc103698563"/>
      <w:bookmarkStart w:id="7" w:name="_Toc105166753"/>
      <w:r>
        <w:rPr>
          <w:rFonts w:asciiTheme="minorHAnsi" w:eastAsiaTheme="minorHAnsi" w:hAnsiTheme="minorHAnsi" w:cstheme="minorBidi"/>
          <w:color w:val="auto"/>
          <w:sz w:val="22"/>
          <w:szCs w:val="22"/>
        </w:rPr>
        <w:t xml:space="preserve">The below sets out what will be considered "Eligible Expenditure" for the purposes of the Program and for which Grant amounts may be available. </w:t>
      </w:r>
      <w:r w:rsidR="00590809">
        <w:rPr>
          <w:rFonts w:asciiTheme="minorHAnsi" w:eastAsiaTheme="minorHAnsi" w:hAnsiTheme="minorHAnsi" w:cstheme="minorBidi"/>
          <w:color w:val="auto"/>
          <w:sz w:val="22"/>
          <w:szCs w:val="22"/>
        </w:rPr>
        <w:t xml:space="preserve">Applicants should note that </w:t>
      </w:r>
      <w:r w:rsidR="0020464E">
        <w:rPr>
          <w:rFonts w:asciiTheme="minorHAnsi" w:eastAsiaTheme="minorHAnsi" w:hAnsiTheme="minorHAnsi" w:cstheme="minorBidi"/>
          <w:color w:val="auto"/>
          <w:sz w:val="22"/>
          <w:szCs w:val="22"/>
        </w:rPr>
        <w:t xml:space="preserve">all </w:t>
      </w:r>
      <w:r w:rsidR="00E455F9">
        <w:rPr>
          <w:rFonts w:asciiTheme="minorHAnsi" w:eastAsiaTheme="minorHAnsi" w:hAnsiTheme="minorHAnsi" w:cstheme="minorBidi"/>
          <w:color w:val="auto"/>
          <w:sz w:val="22"/>
          <w:szCs w:val="22"/>
        </w:rPr>
        <w:t xml:space="preserve">activity costed </w:t>
      </w:r>
      <w:r w:rsidR="00923A68">
        <w:rPr>
          <w:rFonts w:asciiTheme="minorHAnsi" w:eastAsiaTheme="minorHAnsi" w:hAnsiTheme="minorHAnsi" w:cstheme="minorBidi"/>
          <w:color w:val="auto"/>
          <w:sz w:val="22"/>
          <w:szCs w:val="22"/>
        </w:rPr>
        <w:t>should be exclusive of GST.</w:t>
      </w:r>
      <w:bookmarkEnd w:id="6"/>
      <w:bookmarkEnd w:id="7"/>
      <w:r w:rsidR="00923A68">
        <w:rPr>
          <w:rFonts w:asciiTheme="minorHAnsi" w:eastAsiaTheme="minorHAnsi" w:hAnsiTheme="minorHAnsi" w:cstheme="minorBidi"/>
          <w:color w:val="auto"/>
          <w:sz w:val="22"/>
          <w:szCs w:val="22"/>
        </w:rPr>
        <w:t xml:space="preserve">  </w:t>
      </w:r>
      <w:r w:rsidR="008013D8" w:rsidRPr="00AB1622">
        <w:rPr>
          <w:b/>
          <w:bCs/>
          <w:sz w:val="32"/>
          <w:szCs w:val="32"/>
        </w:rPr>
        <w:br/>
      </w:r>
    </w:p>
    <w:tbl>
      <w:tblPr>
        <w:tblStyle w:val="TableGrid"/>
        <w:tblW w:w="0" w:type="auto"/>
        <w:tblLook w:val="04A0" w:firstRow="1" w:lastRow="0" w:firstColumn="1" w:lastColumn="0" w:noHBand="0" w:noVBand="1"/>
      </w:tblPr>
      <w:tblGrid>
        <w:gridCol w:w="2689"/>
        <w:gridCol w:w="6327"/>
      </w:tblGrid>
      <w:tr w:rsidR="00A451E8" w:rsidRPr="00D26A0A" w14:paraId="49D255C5" w14:textId="77777777" w:rsidTr="00D973FA">
        <w:tc>
          <w:tcPr>
            <w:tcW w:w="2689" w:type="dxa"/>
            <w:shd w:val="clear" w:color="auto" w:fill="0070C0"/>
          </w:tcPr>
          <w:p w14:paraId="39CC2285" w14:textId="33DF0035" w:rsidR="00A451E8" w:rsidRPr="00D26A0A" w:rsidRDefault="00A451E8" w:rsidP="00D973FA">
            <w:pPr>
              <w:rPr>
                <w:b/>
                <w:bCs/>
                <w:color w:val="FFFFFF" w:themeColor="background1"/>
              </w:rPr>
            </w:pPr>
            <w:r w:rsidRPr="00A451E8">
              <w:rPr>
                <w:b/>
                <w:bCs/>
                <w:color w:val="FFFFFF" w:themeColor="background1"/>
              </w:rPr>
              <w:t>Eligible Expenditure</w:t>
            </w:r>
          </w:p>
        </w:tc>
        <w:tc>
          <w:tcPr>
            <w:tcW w:w="6327" w:type="dxa"/>
            <w:shd w:val="clear" w:color="auto" w:fill="0070C0"/>
          </w:tcPr>
          <w:p w14:paraId="67552DFE" w14:textId="0697DC52" w:rsidR="00A451E8" w:rsidRPr="00D26A0A" w:rsidRDefault="00A451E8" w:rsidP="00D973FA">
            <w:pPr>
              <w:rPr>
                <w:b/>
                <w:bCs/>
                <w:color w:val="FFFFFF" w:themeColor="background1"/>
              </w:rPr>
            </w:pPr>
            <w:r w:rsidRPr="00A451E8">
              <w:rPr>
                <w:b/>
                <w:bCs/>
                <w:color w:val="FFFFFF" w:themeColor="background1"/>
              </w:rPr>
              <w:t>Description and Examples</w:t>
            </w:r>
          </w:p>
        </w:tc>
      </w:tr>
      <w:tr w:rsidR="00A451E8" w14:paraId="58451CE4" w14:textId="77777777" w:rsidTr="00D973FA">
        <w:tc>
          <w:tcPr>
            <w:tcW w:w="2689" w:type="dxa"/>
          </w:tcPr>
          <w:p w14:paraId="4F178466" w14:textId="77777777" w:rsidR="00A451E8" w:rsidRDefault="00A451E8" w:rsidP="00A451E8">
            <w:r>
              <w:t>Fee-for-service and related costs of service providers (i.e. consultants, experts, accredited</w:t>
            </w:r>
          </w:p>
          <w:p w14:paraId="25314102" w14:textId="543F1AB7" w:rsidR="00A451E8" w:rsidRDefault="00A451E8" w:rsidP="00A451E8">
            <w:r>
              <w:t>testing bodies, labour and contractors)</w:t>
            </w:r>
          </w:p>
        </w:tc>
        <w:tc>
          <w:tcPr>
            <w:tcW w:w="6327" w:type="dxa"/>
          </w:tcPr>
          <w:p w14:paraId="76F32F73" w14:textId="2945568C" w:rsidR="00A451E8" w:rsidRPr="00A451E8" w:rsidRDefault="00B76FE4" w:rsidP="00A451E8">
            <w:r>
              <w:t>Examples of f</w:t>
            </w:r>
            <w:r w:rsidR="00A451E8" w:rsidRPr="00A451E8">
              <w:t>ee-for-service and related costs of</w:t>
            </w:r>
            <w:r w:rsidR="000370F2">
              <w:t xml:space="preserve"> third party</w:t>
            </w:r>
            <w:r w:rsidR="00A451E8" w:rsidRPr="00A451E8">
              <w:t xml:space="preserve"> service providers </w:t>
            </w:r>
            <w:r>
              <w:t>include</w:t>
            </w:r>
            <w:r w:rsidR="00A451E8" w:rsidRPr="00A451E8">
              <w:t>:</w:t>
            </w:r>
          </w:p>
          <w:p w14:paraId="6A703C3F" w14:textId="77777777" w:rsidR="00A451E8" w:rsidRPr="00343E8E" w:rsidRDefault="00A451E8" w:rsidP="00343E8E">
            <w:pPr>
              <w:pStyle w:val="ListParagraph"/>
              <w:numPr>
                <w:ilvl w:val="0"/>
                <w:numId w:val="8"/>
              </w:numPr>
            </w:pPr>
            <w:r w:rsidRPr="00343E8E">
              <w:t>addressing business process and system gaps</w:t>
            </w:r>
          </w:p>
          <w:p w14:paraId="6EC42542" w14:textId="77777777" w:rsidR="00A451E8" w:rsidRPr="00343E8E" w:rsidRDefault="00A451E8" w:rsidP="00343E8E">
            <w:pPr>
              <w:pStyle w:val="ListParagraph"/>
              <w:numPr>
                <w:ilvl w:val="0"/>
                <w:numId w:val="8"/>
              </w:numPr>
            </w:pPr>
            <w:r w:rsidRPr="00343E8E">
              <w:t>improving business processes and systems</w:t>
            </w:r>
          </w:p>
          <w:p w14:paraId="75D65626" w14:textId="77777777" w:rsidR="00A451E8" w:rsidRPr="00343E8E" w:rsidRDefault="00A451E8" w:rsidP="00343E8E">
            <w:pPr>
              <w:pStyle w:val="ListParagraph"/>
              <w:numPr>
                <w:ilvl w:val="0"/>
                <w:numId w:val="8"/>
              </w:numPr>
            </w:pPr>
            <w:r w:rsidRPr="00343E8E">
              <w:t>developing or implementing required materials, systems and processes</w:t>
            </w:r>
          </w:p>
          <w:p w14:paraId="3AB3F5B4" w14:textId="77777777" w:rsidR="00A451E8" w:rsidRPr="00343E8E" w:rsidRDefault="00A451E8" w:rsidP="00343E8E">
            <w:pPr>
              <w:pStyle w:val="ListParagraph"/>
              <w:numPr>
                <w:ilvl w:val="0"/>
                <w:numId w:val="8"/>
              </w:numPr>
            </w:pPr>
            <w:r w:rsidRPr="00343E8E">
              <w:t>to meet industry specific compliance requirements or to obtain business systems and process certifications</w:t>
            </w:r>
          </w:p>
          <w:p w14:paraId="24E5C4A6" w14:textId="5FC68999" w:rsidR="00A451E8" w:rsidRPr="00343E8E" w:rsidRDefault="00A451E8" w:rsidP="00343E8E">
            <w:pPr>
              <w:pStyle w:val="ListParagraph"/>
              <w:numPr>
                <w:ilvl w:val="0"/>
                <w:numId w:val="8"/>
              </w:numPr>
            </w:pPr>
            <w:r w:rsidRPr="00343E8E">
              <w:t>Information Technology (IT) security policies, technology control plans, ITAR compliance programs</w:t>
            </w:r>
          </w:p>
          <w:p w14:paraId="1DB5C802" w14:textId="77777777" w:rsidR="00A451E8" w:rsidRPr="00343E8E" w:rsidRDefault="00A451E8" w:rsidP="00343E8E">
            <w:pPr>
              <w:pStyle w:val="ListParagraph"/>
              <w:numPr>
                <w:ilvl w:val="0"/>
                <w:numId w:val="8"/>
              </w:numPr>
            </w:pPr>
            <w:r w:rsidRPr="00343E8E">
              <w:t>product or process compliance testing and improvements to rectify non- compliance findings</w:t>
            </w:r>
          </w:p>
          <w:p w14:paraId="1811652C" w14:textId="6D2704B3" w:rsidR="00A451E8" w:rsidRPr="00A451E8" w:rsidRDefault="00A451E8" w:rsidP="00343E8E">
            <w:pPr>
              <w:pStyle w:val="ListParagraph"/>
              <w:numPr>
                <w:ilvl w:val="0"/>
                <w:numId w:val="8"/>
              </w:numPr>
            </w:pPr>
            <w:r w:rsidRPr="00343E8E">
              <w:t>preparing tenders</w:t>
            </w:r>
            <w:r w:rsidR="000370F2">
              <w:t xml:space="preserve"> on behalf of recipients</w:t>
            </w:r>
            <w:r w:rsidRPr="00343E8E">
              <w:t xml:space="preserve"> </w:t>
            </w:r>
          </w:p>
          <w:p w14:paraId="72378DBA" w14:textId="7943CFB4" w:rsidR="00A451E8" w:rsidRDefault="00A451E8" w:rsidP="00343E8E">
            <w:pPr>
              <w:pStyle w:val="ListParagraph"/>
              <w:numPr>
                <w:ilvl w:val="0"/>
                <w:numId w:val="8"/>
              </w:numPr>
            </w:pPr>
            <w:r w:rsidRPr="00343E8E">
              <w:t>helping to meet the specifications of a tender, such as testing of products to confirm they meet industry specifications</w:t>
            </w:r>
            <w:r w:rsidR="000370F2">
              <w:t>.</w:t>
            </w:r>
          </w:p>
        </w:tc>
      </w:tr>
      <w:tr w:rsidR="00A451E8" w14:paraId="7CA1D7C9" w14:textId="77777777" w:rsidTr="00D973FA">
        <w:tc>
          <w:tcPr>
            <w:tcW w:w="2689" w:type="dxa"/>
          </w:tcPr>
          <w:p w14:paraId="323FAE10" w14:textId="43FC13A3" w:rsidR="00A451E8" w:rsidRDefault="00343E8E" w:rsidP="00D973FA">
            <w:r w:rsidRPr="00343E8E">
              <w:t xml:space="preserve">Minor building alterations and fit-out costs </w:t>
            </w:r>
          </w:p>
        </w:tc>
        <w:tc>
          <w:tcPr>
            <w:tcW w:w="6327" w:type="dxa"/>
          </w:tcPr>
          <w:p w14:paraId="165E43C5" w14:textId="474E6EE3" w:rsidR="00343E8E" w:rsidRPr="001257AB" w:rsidRDefault="00343E8E" w:rsidP="00343E8E">
            <w:r>
              <w:t xml:space="preserve">To help meet industry </w:t>
            </w:r>
            <w:r w:rsidRPr="001257AB">
              <w:t>specific compliance requirements or pass</w:t>
            </w:r>
          </w:p>
          <w:p w14:paraId="06278987" w14:textId="557D2005" w:rsidR="00343E8E" w:rsidRPr="001257AB" w:rsidRDefault="00343E8E" w:rsidP="00343E8E">
            <w:r w:rsidRPr="001257AB">
              <w:t xml:space="preserve">a certification audit, for example: </w:t>
            </w:r>
          </w:p>
          <w:p w14:paraId="251F7505" w14:textId="77777777" w:rsidR="00343E8E" w:rsidRPr="001257AB" w:rsidRDefault="00343E8E" w:rsidP="00343E8E">
            <w:pPr>
              <w:pStyle w:val="ListParagraph"/>
              <w:numPr>
                <w:ilvl w:val="0"/>
                <w:numId w:val="8"/>
              </w:numPr>
            </w:pPr>
            <w:r w:rsidRPr="001257AB">
              <w:t>installation of security bars on windows</w:t>
            </w:r>
          </w:p>
          <w:p w14:paraId="1ECF57DB" w14:textId="77777777" w:rsidR="00343E8E" w:rsidRPr="001257AB" w:rsidRDefault="00343E8E" w:rsidP="00343E8E">
            <w:pPr>
              <w:pStyle w:val="ListParagraph"/>
              <w:numPr>
                <w:ilvl w:val="0"/>
                <w:numId w:val="8"/>
              </w:numPr>
            </w:pPr>
            <w:r w:rsidRPr="001257AB">
              <w:t>installation of electronic access controls</w:t>
            </w:r>
          </w:p>
          <w:p w14:paraId="4FC103F5" w14:textId="77777777" w:rsidR="00A451E8" w:rsidRPr="001257AB" w:rsidRDefault="00343E8E" w:rsidP="00343E8E">
            <w:pPr>
              <w:pStyle w:val="ListParagraph"/>
              <w:numPr>
                <w:ilvl w:val="0"/>
                <w:numId w:val="8"/>
              </w:numPr>
            </w:pPr>
            <w:r w:rsidRPr="001257AB">
              <w:t>construction of partitions to meet security requirements</w:t>
            </w:r>
          </w:p>
          <w:p w14:paraId="5005768D" w14:textId="347BC620" w:rsidR="00343E8E" w:rsidRDefault="00343E8E" w:rsidP="00343E8E">
            <w:pPr>
              <w:pStyle w:val="ListParagraph"/>
              <w:numPr>
                <w:ilvl w:val="0"/>
                <w:numId w:val="8"/>
              </w:numPr>
            </w:pPr>
            <w:r w:rsidRPr="001257AB">
              <w:t xml:space="preserve">other compliance requirements as appropriate. </w:t>
            </w:r>
          </w:p>
        </w:tc>
      </w:tr>
      <w:tr w:rsidR="00A451E8" w14:paraId="270C8557" w14:textId="77777777" w:rsidTr="00D973FA">
        <w:tc>
          <w:tcPr>
            <w:tcW w:w="2689" w:type="dxa"/>
          </w:tcPr>
          <w:p w14:paraId="67E02EAE" w14:textId="748677AC" w:rsidR="00A451E8" w:rsidRDefault="00343E8E" w:rsidP="00D973FA">
            <w:r w:rsidRPr="00343E8E">
              <w:t>External Audits</w:t>
            </w:r>
          </w:p>
        </w:tc>
        <w:tc>
          <w:tcPr>
            <w:tcW w:w="6327" w:type="dxa"/>
          </w:tcPr>
          <w:p w14:paraId="1E6BC25F" w14:textId="1C9BCCF8" w:rsidR="00A451E8" w:rsidRDefault="00343E8E" w:rsidP="00D973FA">
            <w:r>
              <w:t>T</w:t>
            </w:r>
            <w:r w:rsidRPr="00343E8E">
              <w:t>o obtain a business system and process certification of relevance to the defence or national security industries</w:t>
            </w:r>
            <w:r w:rsidR="000370F2">
              <w:t>.</w:t>
            </w:r>
          </w:p>
        </w:tc>
      </w:tr>
      <w:tr w:rsidR="00343E8E" w14:paraId="5D2B5A51" w14:textId="77777777" w:rsidTr="00D973FA">
        <w:tc>
          <w:tcPr>
            <w:tcW w:w="2689" w:type="dxa"/>
          </w:tcPr>
          <w:p w14:paraId="609CA56B" w14:textId="0F81D383" w:rsidR="00343E8E" w:rsidRPr="00D26A0A" w:rsidRDefault="00343E8E" w:rsidP="00D973FA">
            <w:r w:rsidRPr="00343E8E">
              <w:t>Software development, customisation, implementation or purchase</w:t>
            </w:r>
          </w:p>
        </w:tc>
        <w:tc>
          <w:tcPr>
            <w:tcW w:w="6327" w:type="dxa"/>
          </w:tcPr>
          <w:p w14:paraId="3EDBD5F2" w14:textId="77777777" w:rsidR="00343E8E" w:rsidRPr="001257AB" w:rsidRDefault="00343E8E" w:rsidP="00D973FA">
            <w:r w:rsidRPr="001257AB">
              <w:t xml:space="preserve">To help meet industry specific compliance requirements or pass a certification audit, for example: </w:t>
            </w:r>
          </w:p>
          <w:p w14:paraId="7C8D3351" w14:textId="77777777" w:rsidR="00343E8E" w:rsidRPr="001257AB" w:rsidRDefault="00343E8E" w:rsidP="00343E8E">
            <w:pPr>
              <w:pStyle w:val="ListParagraph"/>
              <w:numPr>
                <w:ilvl w:val="0"/>
                <w:numId w:val="8"/>
              </w:numPr>
            </w:pPr>
            <w:r w:rsidRPr="001257AB">
              <w:t>verification and validation software</w:t>
            </w:r>
          </w:p>
          <w:p w14:paraId="39DCA3C7" w14:textId="77777777" w:rsidR="00343E8E" w:rsidRPr="001257AB" w:rsidRDefault="00343E8E" w:rsidP="00343E8E">
            <w:pPr>
              <w:pStyle w:val="ListParagraph"/>
              <w:numPr>
                <w:ilvl w:val="0"/>
                <w:numId w:val="8"/>
              </w:numPr>
            </w:pPr>
            <w:r w:rsidRPr="001257AB">
              <w:t>document management</w:t>
            </w:r>
          </w:p>
          <w:p w14:paraId="376D359B" w14:textId="77777777" w:rsidR="00343E8E" w:rsidRPr="001257AB" w:rsidRDefault="00343E8E" w:rsidP="00343E8E">
            <w:pPr>
              <w:pStyle w:val="ListParagraph"/>
              <w:numPr>
                <w:ilvl w:val="0"/>
                <w:numId w:val="8"/>
              </w:numPr>
            </w:pPr>
            <w:r w:rsidRPr="001257AB">
              <w:t>product lifecycle management</w:t>
            </w:r>
          </w:p>
          <w:p w14:paraId="6EFBA025" w14:textId="77777777" w:rsidR="00343E8E" w:rsidRPr="001257AB" w:rsidRDefault="00343E8E" w:rsidP="00343E8E">
            <w:pPr>
              <w:pStyle w:val="ListParagraph"/>
              <w:numPr>
                <w:ilvl w:val="0"/>
                <w:numId w:val="8"/>
              </w:numPr>
            </w:pPr>
            <w:r w:rsidRPr="001257AB">
              <w:t>security/ ITAR management software</w:t>
            </w:r>
          </w:p>
          <w:p w14:paraId="7482E8D6" w14:textId="463B9564" w:rsidR="00343E8E" w:rsidRPr="001257AB" w:rsidRDefault="00343E8E" w:rsidP="00343E8E">
            <w:pPr>
              <w:pStyle w:val="ListParagraph"/>
              <w:numPr>
                <w:ilvl w:val="0"/>
                <w:numId w:val="8"/>
              </w:numPr>
            </w:pPr>
            <w:r w:rsidRPr="001257AB">
              <w:t>other compliance requirements as appropriate.</w:t>
            </w:r>
          </w:p>
        </w:tc>
      </w:tr>
      <w:tr w:rsidR="00343E8E" w14:paraId="730A2072" w14:textId="77777777" w:rsidTr="00D973FA">
        <w:tc>
          <w:tcPr>
            <w:tcW w:w="2689" w:type="dxa"/>
          </w:tcPr>
          <w:p w14:paraId="0C0CD27A" w14:textId="77777777" w:rsidR="00343E8E" w:rsidRDefault="00343E8E" w:rsidP="00343E8E">
            <w:r>
              <w:t>Purchase and installation</w:t>
            </w:r>
          </w:p>
          <w:p w14:paraId="113E9E58" w14:textId="62F35860" w:rsidR="00343E8E" w:rsidRPr="00D26A0A" w:rsidRDefault="00343E8E" w:rsidP="00343E8E">
            <w:r>
              <w:t>of equipment</w:t>
            </w:r>
          </w:p>
        </w:tc>
        <w:tc>
          <w:tcPr>
            <w:tcW w:w="6327" w:type="dxa"/>
          </w:tcPr>
          <w:p w14:paraId="06C97424" w14:textId="77777777" w:rsidR="00343E8E" w:rsidRPr="001257AB" w:rsidRDefault="00343E8E" w:rsidP="00343E8E">
            <w:pPr>
              <w:pStyle w:val="ListParagraph"/>
              <w:numPr>
                <w:ilvl w:val="0"/>
                <w:numId w:val="8"/>
              </w:numPr>
            </w:pPr>
            <w:r w:rsidRPr="001257AB">
              <w:t xml:space="preserve">To help meet industry specific compliance requirements such as ITAR, for example: </w:t>
            </w:r>
          </w:p>
          <w:p w14:paraId="4A5032EF" w14:textId="77777777" w:rsidR="00343E8E" w:rsidRPr="001257AB" w:rsidRDefault="00343E8E" w:rsidP="00343E8E">
            <w:pPr>
              <w:pStyle w:val="ListParagraph"/>
              <w:numPr>
                <w:ilvl w:val="1"/>
                <w:numId w:val="8"/>
              </w:numPr>
            </w:pPr>
            <w:r w:rsidRPr="001257AB">
              <w:t>locking devices</w:t>
            </w:r>
          </w:p>
          <w:p w14:paraId="46E84AC1" w14:textId="77777777" w:rsidR="00343E8E" w:rsidRPr="001257AB" w:rsidRDefault="00343E8E" w:rsidP="00343E8E">
            <w:pPr>
              <w:pStyle w:val="ListParagraph"/>
              <w:numPr>
                <w:ilvl w:val="1"/>
                <w:numId w:val="8"/>
              </w:numPr>
            </w:pPr>
            <w:r w:rsidRPr="001257AB">
              <w:t>security containers</w:t>
            </w:r>
          </w:p>
          <w:p w14:paraId="3A2F6C40" w14:textId="77777777" w:rsidR="00343E8E" w:rsidRPr="001257AB" w:rsidRDefault="00343E8E" w:rsidP="00343E8E">
            <w:pPr>
              <w:pStyle w:val="ListParagraph"/>
              <w:numPr>
                <w:ilvl w:val="1"/>
                <w:numId w:val="8"/>
              </w:numPr>
            </w:pPr>
            <w:r w:rsidRPr="001257AB">
              <w:t>security alarm systems</w:t>
            </w:r>
          </w:p>
          <w:p w14:paraId="69FF3F2F" w14:textId="77777777" w:rsidR="00343E8E" w:rsidRPr="001257AB" w:rsidRDefault="00343E8E" w:rsidP="00343E8E">
            <w:pPr>
              <w:pStyle w:val="ListParagraph"/>
              <w:numPr>
                <w:ilvl w:val="1"/>
                <w:numId w:val="8"/>
              </w:numPr>
            </w:pPr>
            <w:r w:rsidRPr="001257AB">
              <w:t>detectors</w:t>
            </w:r>
          </w:p>
          <w:p w14:paraId="765AD0DA" w14:textId="0027EFEE" w:rsidR="00343E8E" w:rsidRPr="001257AB" w:rsidRDefault="00343E8E" w:rsidP="00343E8E">
            <w:pPr>
              <w:pStyle w:val="ListParagraph"/>
              <w:numPr>
                <w:ilvl w:val="1"/>
                <w:numId w:val="8"/>
              </w:numPr>
            </w:pPr>
            <w:r w:rsidRPr="001257AB">
              <w:t>visitor management systems.</w:t>
            </w:r>
          </w:p>
          <w:p w14:paraId="2A4D5031" w14:textId="141F2738" w:rsidR="00343E8E" w:rsidRPr="001257AB" w:rsidRDefault="00343E8E" w:rsidP="00343E8E">
            <w:pPr>
              <w:pStyle w:val="ListParagraph"/>
              <w:numPr>
                <w:ilvl w:val="0"/>
                <w:numId w:val="8"/>
              </w:numPr>
            </w:pPr>
            <w:r w:rsidRPr="001257AB">
              <w:t xml:space="preserve">To help a Victorian SME pass a business systems and process certification audit. </w:t>
            </w:r>
          </w:p>
        </w:tc>
      </w:tr>
      <w:tr w:rsidR="00343E8E" w14:paraId="61DDB27B" w14:textId="77777777" w:rsidTr="00D973FA">
        <w:tc>
          <w:tcPr>
            <w:tcW w:w="2689" w:type="dxa"/>
          </w:tcPr>
          <w:p w14:paraId="2DC8B9DA" w14:textId="18C0B358" w:rsidR="00343E8E" w:rsidRPr="00D26A0A" w:rsidRDefault="00D86342" w:rsidP="00343E8E">
            <w:r>
              <w:lastRenderedPageBreak/>
              <w:t>Trade missions</w:t>
            </w:r>
            <w:r w:rsidRPr="00343E8E">
              <w:t xml:space="preserve"> </w:t>
            </w:r>
            <w:r w:rsidR="00343E8E" w:rsidRPr="00343E8E">
              <w:t xml:space="preserve">to pursue collaboration </w:t>
            </w:r>
            <w:r>
              <w:t xml:space="preserve">and export </w:t>
            </w:r>
            <w:r w:rsidR="00343E8E" w:rsidRPr="00343E8E">
              <w:t xml:space="preserve">opportunities </w:t>
            </w:r>
          </w:p>
        </w:tc>
        <w:tc>
          <w:tcPr>
            <w:tcW w:w="6327" w:type="dxa"/>
          </w:tcPr>
          <w:p w14:paraId="5EDEE9D9" w14:textId="664E2E14" w:rsidR="00343E8E" w:rsidRDefault="00343E8E" w:rsidP="00343E8E">
            <w:pPr>
              <w:pStyle w:val="ListParagraph"/>
              <w:numPr>
                <w:ilvl w:val="0"/>
                <w:numId w:val="8"/>
              </w:numPr>
            </w:pPr>
            <w:r>
              <w:t>T</w:t>
            </w:r>
            <w:r w:rsidRPr="00343E8E">
              <w:t>o facilitate introductions to and collaboration with Hanwha’s global and South Korean supply chain partners, as well as direct entry by Victorian companies into Hanwha’s global supply chains</w:t>
            </w:r>
            <w:r w:rsidR="000370F2">
              <w:t>.</w:t>
            </w:r>
          </w:p>
          <w:p w14:paraId="088E9B05" w14:textId="26E29E48" w:rsidR="00343E8E" w:rsidRPr="00343E8E" w:rsidRDefault="00343E8E" w:rsidP="00343E8E">
            <w:pPr>
              <w:pStyle w:val="ListParagraph"/>
              <w:numPr>
                <w:ilvl w:val="0"/>
                <w:numId w:val="8"/>
              </w:numPr>
            </w:pPr>
            <w:r>
              <w:t>T</w:t>
            </w:r>
            <w:r w:rsidRPr="00343E8E">
              <w:t>o undertake intellectual property transfer activities with Hanwha’s global supply chain partners</w:t>
            </w:r>
            <w:r>
              <w:t>.</w:t>
            </w:r>
          </w:p>
        </w:tc>
      </w:tr>
      <w:tr w:rsidR="00343E8E" w14:paraId="6F378447" w14:textId="77777777" w:rsidTr="00D973FA">
        <w:tc>
          <w:tcPr>
            <w:tcW w:w="2689" w:type="dxa"/>
          </w:tcPr>
          <w:p w14:paraId="11150435" w14:textId="183E818C" w:rsidR="00343E8E" w:rsidRPr="00D26A0A" w:rsidRDefault="00343E8E" w:rsidP="00343E8E">
            <w:r w:rsidRPr="00343E8E">
              <w:t xml:space="preserve">Defence R&amp;D activity and intellectual property transfer opportunities </w:t>
            </w:r>
          </w:p>
        </w:tc>
        <w:tc>
          <w:tcPr>
            <w:tcW w:w="6327" w:type="dxa"/>
          </w:tcPr>
          <w:p w14:paraId="6E4F31D4" w14:textId="604AADE6" w:rsidR="00343E8E" w:rsidRPr="00343E8E" w:rsidRDefault="00343E8E" w:rsidP="00343E8E">
            <w:pPr>
              <w:rPr>
                <w:rFonts w:ascii="Arial" w:eastAsia="Arial" w:hAnsi="Arial" w:cs="Arial"/>
                <w:color w:val="231F20"/>
                <w:w w:val="110"/>
                <w:sz w:val="18"/>
                <w:lang w:val="en-US"/>
              </w:rPr>
            </w:pPr>
            <w:r w:rsidRPr="00343E8E">
              <w:t>To undertake defence R&amp;D activity or engage in defence R&amp;D collaborative opportunities</w:t>
            </w:r>
            <w:r w:rsidR="000370F2">
              <w:t>.</w:t>
            </w:r>
          </w:p>
        </w:tc>
      </w:tr>
      <w:tr w:rsidR="00522E8F" w14:paraId="561C42FB" w14:textId="77777777" w:rsidTr="00D973FA">
        <w:tc>
          <w:tcPr>
            <w:tcW w:w="2689" w:type="dxa"/>
          </w:tcPr>
          <w:p w14:paraId="42BBAEBC" w14:textId="1AF50FDD" w:rsidR="00522E8F" w:rsidRPr="00343E8E" w:rsidRDefault="00522E8F" w:rsidP="00522E8F">
            <w:r>
              <w:t>Product development</w:t>
            </w:r>
          </w:p>
        </w:tc>
        <w:tc>
          <w:tcPr>
            <w:tcW w:w="6327" w:type="dxa"/>
          </w:tcPr>
          <w:p w14:paraId="13AEA7D3" w14:textId="77777777" w:rsidR="00954280" w:rsidRDefault="008E2F59" w:rsidP="00522E8F">
            <w:r>
              <w:t>T</w:t>
            </w:r>
            <w:r w:rsidR="00522E8F">
              <w:t>o support i</w:t>
            </w:r>
            <w:r w:rsidR="00522E8F" w:rsidRPr="0092261F">
              <w:t>nvestment</w:t>
            </w:r>
            <w:r>
              <w:t xml:space="preserve"> in </w:t>
            </w:r>
            <w:r w:rsidR="00522E8F">
              <w:t>activities</w:t>
            </w:r>
            <w:r w:rsidR="00954280">
              <w:t xml:space="preserve"> to develop new or enhance current products. This may include activities</w:t>
            </w:r>
            <w:r w:rsidR="00522E8F">
              <w:t xml:space="preserve"> such as</w:t>
            </w:r>
            <w:r w:rsidR="00954280">
              <w:t xml:space="preserve">: </w:t>
            </w:r>
          </w:p>
          <w:p w14:paraId="758F73AA" w14:textId="59B192A6" w:rsidR="00954280" w:rsidRDefault="005D618E" w:rsidP="00954280">
            <w:pPr>
              <w:pStyle w:val="ListParagraph"/>
              <w:numPr>
                <w:ilvl w:val="0"/>
                <w:numId w:val="8"/>
              </w:numPr>
            </w:pPr>
            <w:r>
              <w:t>t</w:t>
            </w:r>
            <w:r w:rsidR="00522E8F" w:rsidRPr="0092261F">
              <w:t>ooling</w:t>
            </w:r>
            <w:r w:rsidR="00954280">
              <w:t xml:space="preserve"> and </w:t>
            </w:r>
            <w:r w:rsidR="00522E8F" w:rsidRPr="0092261F">
              <w:t xml:space="preserve">testing </w:t>
            </w:r>
          </w:p>
          <w:p w14:paraId="5FA36D94" w14:textId="77777777" w:rsidR="00020448" w:rsidRDefault="00020448" w:rsidP="00954280">
            <w:pPr>
              <w:pStyle w:val="ListParagraph"/>
              <w:numPr>
                <w:ilvl w:val="0"/>
                <w:numId w:val="8"/>
              </w:numPr>
            </w:pPr>
            <w:r>
              <w:t>sourcing and/or development of product</w:t>
            </w:r>
            <w:r w:rsidR="00522E8F">
              <w:t xml:space="preserve"> </w:t>
            </w:r>
            <w:r w:rsidR="00522E8F" w:rsidRPr="0092261F">
              <w:t>materials</w:t>
            </w:r>
            <w:r w:rsidR="005D618E">
              <w:t xml:space="preserve"> </w:t>
            </w:r>
          </w:p>
          <w:p w14:paraId="59602253" w14:textId="77777777" w:rsidR="00522E8F" w:rsidRDefault="00020448" w:rsidP="00954280">
            <w:pPr>
              <w:pStyle w:val="ListParagraph"/>
              <w:numPr>
                <w:ilvl w:val="0"/>
                <w:numId w:val="8"/>
              </w:numPr>
            </w:pPr>
            <w:r>
              <w:t xml:space="preserve">prototype </w:t>
            </w:r>
            <w:r w:rsidR="00522E8F" w:rsidRPr="0092261F">
              <w:t>develop</w:t>
            </w:r>
            <w:r w:rsidR="00522E8F">
              <w:t>ment</w:t>
            </w:r>
            <w:r w:rsidR="00522E8F" w:rsidRPr="0092261F">
              <w:t xml:space="preserve"> </w:t>
            </w:r>
          </w:p>
          <w:p w14:paraId="352B3851" w14:textId="1950EB24" w:rsidR="00020448" w:rsidRPr="00343E8E" w:rsidRDefault="00020448" w:rsidP="00954280">
            <w:pPr>
              <w:pStyle w:val="ListParagraph"/>
              <w:numPr>
                <w:ilvl w:val="0"/>
                <w:numId w:val="8"/>
              </w:numPr>
            </w:pPr>
            <w:r>
              <w:t xml:space="preserve">other </w:t>
            </w:r>
            <w:r w:rsidR="0064148A">
              <w:t>costs associated with product design or customisation.</w:t>
            </w:r>
          </w:p>
        </w:tc>
      </w:tr>
    </w:tbl>
    <w:p w14:paraId="12B7A48C" w14:textId="35308570" w:rsidR="00343E8E" w:rsidRDefault="00DE03F9" w:rsidP="0086078F">
      <w:pPr>
        <w:jc w:val="both"/>
      </w:pPr>
      <w:r>
        <w:br/>
      </w:r>
      <w:r w:rsidR="00343E8E">
        <w:t>Applicants are encouraged to use Victorian service providers to assist with their project where possible.</w:t>
      </w:r>
      <w:r w:rsidR="001257AB">
        <w:t xml:space="preserve"> </w:t>
      </w:r>
      <w:r w:rsidR="00343E8E">
        <w:t>The Department reserves</w:t>
      </w:r>
      <w:r w:rsidR="000370F2">
        <w:t>, in its absolute discretion,</w:t>
      </w:r>
      <w:r w:rsidR="00343E8E">
        <w:t xml:space="preserve"> the right to reject funding applications for activities not specified above, or for activities that do not meet Program </w:t>
      </w:r>
      <w:r w:rsidR="00140E1F">
        <w:t>O</w:t>
      </w:r>
      <w:r w:rsidR="00343E8E">
        <w:t>bjectives.</w:t>
      </w:r>
    </w:p>
    <w:p w14:paraId="46332FD8" w14:textId="77777777" w:rsidR="008013D8" w:rsidRPr="000B7314" w:rsidRDefault="008013D8" w:rsidP="00343E8E">
      <w:pPr>
        <w:rPr>
          <w:sz w:val="12"/>
          <w:szCs w:val="12"/>
        </w:rPr>
      </w:pPr>
    </w:p>
    <w:p w14:paraId="45EF31FD" w14:textId="73DED235" w:rsidR="00343E8E" w:rsidRDefault="008013D8" w:rsidP="007159D1">
      <w:pPr>
        <w:pStyle w:val="Heading3"/>
        <w:numPr>
          <w:ilvl w:val="0"/>
          <w:numId w:val="12"/>
        </w:numPr>
        <w:rPr>
          <w:b/>
          <w:bCs/>
          <w:sz w:val="32"/>
          <w:szCs w:val="32"/>
        </w:rPr>
      </w:pPr>
      <w:bookmarkStart w:id="8" w:name="_Toc105166754"/>
      <w:r w:rsidRPr="008013D8">
        <w:rPr>
          <w:b/>
          <w:bCs/>
          <w:sz w:val="32"/>
          <w:szCs w:val="32"/>
        </w:rPr>
        <w:t>Ineligible Expenditure</w:t>
      </w:r>
      <w:bookmarkEnd w:id="8"/>
    </w:p>
    <w:p w14:paraId="4268E0C6" w14:textId="1D84444D" w:rsidR="00EB64B7" w:rsidRDefault="00EB64B7" w:rsidP="0086078F">
      <w:pPr>
        <w:jc w:val="both"/>
      </w:pPr>
      <w:r>
        <w:br/>
      </w:r>
      <w:r w:rsidRPr="00EB64B7">
        <w:t>Applicants will need to meet the cost of any ineligible expenditure associated with their project. Grants may not be used to cover the following expenses:</w:t>
      </w:r>
    </w:p>
    <w:p w14:paraId="57DBD5F1" w14:textId="78C5CB82" w:rsidR="00037651" w:rsidRPr="00B40095" w:rsidRDefault="00B40095" w:rsidP="0086078F">
      <w:pPr>
        <w:pStyle w:val="Heading5"/>
        <w:spacing w:after="240"/>
        <w:jc w:val="both"/>
      </w:pPr>
      <w:r>
        <w:t>7.1</w:t>
      </w:r>
      <w:r>
        <w:tab/>
      </w:r>
      <w:r w:rsidR="00037651" w:rsidRPr="00B40095">
        <w:t xml:space="preserve">Business as usual </w:t>
      </w:r>
      <w:r w:rsidR="00A50642" w:rsidRPr="00B40095">
        <w:t xml:space="preserve">activities </w:t>
      </w:r>
    </w:p>
    <w:p w14:paraId="391BAD30" w14:textId="42992087" w:rsidR="00A50642" w:rsidRDefault="00A50642" w:rsidP="0086078F">
      <w:pPr>
        <w:pStyle w:val="ListParagraph"/>
        <w:numPr>
          <w:ilvl w:val="0"/>
          <w:numId w:val="29"/>
        </w:numPr>
        <w:jc w:val="both"/>
      </w:pPr>
      <w:r>
        <w:t>Expenses including salaries of existing employees and general overhead</w:t>
      </w:r>
      <w:r w:rsidR="004D6A93">
        <w:t xml:space="preserve"> costs</w:t>
      </w:r>
    </w:p>
    <w:p w14:paraId="75CFCAA6" w14:textId="77777777" w:rsidR="00A50642" w:rsidRDefault="00A50642" w:rsidP="0086078F">
      <w:pPr>
        <w:pStyle w:val="ListParagraph"/>
        <w:numPr>
          <w:ilvl w:val="0"/>
          <w:numId w:val="29"/>
        </w:numPr>
        <w:jc w:val="both"/>
      </w:pPr>
      <w:r>
        <w:t>Routine replacement of plant or equipment</w:t>
      </w:r>
    </w:p>
    <w:p w14:paraId="3F9E35B2" w14:textId="40238C40" w:rsidR="00A50642" w:rsidRDefault="00A50642" w:rsidP="0086078F">
      <w:pPr>
        <w:pStyle w:val="ListParagraph"/>
        <w:numPr>
          <w:ilvl w:val="0"/>
          <w:numId w:val="29"/>
        </w:numPr>
        <w:jc w:val="both"/>
      </w:pPr>
      <w:r>
        <w:t>Routine operational expenses, including communications, accommodation, office computing facilities, printing and stationery, maintenance, postage, legal</w:t>
      </w:r>
      <w:r w:rsidR="00706401">
        <w:t xml:space="preserve">, banking </w:t>
      </w:r>
      <w:r>
        <w:t xml:space="preserve">and accounting fees </w:t>
      </w:r>
    </w:p>
    <w:p w14:paraId="337EBD04" w14:textId="28EEC7AA" w:rsidR="00A50642" w:rsidRDefault="00A50642" w:rsidP="0086078F">
      <w:pPr>
        <w:pStyle w:val="ListParagraph"/>
        <w:numPr>
          <w:ilvl w:val="0"/>
          <w:numId w:val="29"/>
        </w:numPr>
        <w:jc w:val="both"/>
      </w:pPr>
      <w:r>
        <w:t>Costs related to preparing</w:t>
      </w:r>
      <w:r w:rsidR="00DE03F9">
        <w:t xml:space="preserve"> the</w:t>
      </w:r>
      <w:r>
        <w:t xml:space="preserve"> grant application, project reports and project variation</w:t>
      </w:r>
      <w:r w:rsidR="00DE03F9">
        <w:t>s</w:t>
      </w:r>
    </w:p>
    <w:p w14:paraId="202603A5" w14:textId="67084AB8" w:rsidR="00A50642" w:rsidRDefault="00A50642" w:rsidP="0086078F">
      <w:pPr>
        <w:pStyle w:val="ListParagraph"/>
        <w:numPr>
          <w:ilvl w:val="0"/>
          <w:numId w:val="29"/>
        </w:numPr>
        <w:jc w:val="both"/>
      </w:pPr>
      <w:r>
        <w:t xml:space="preserve">Building websites, marketing, </w:t>
      </w:r>
      <w:r w:rsidR="00EF7F97">
        <w:t>sales,</w:t>
      </w:r>
      <w:r>
        <w:t xml:space="preserve"> and promotional activities</w:t>
      </w:r>
    </w:p>
    <w:p w14:paraId="6D668577" w14:textId="77777777" w:rsidR="00A50642" w:rsidRDefault="00A50642" w:rsidP="0086078F">
      <w:pPr>
        <w:pStyle w:val="ListParagraph"/>
        <w:numPr>
          <w:ilvl w:val="0"/>
          <w:numId w:val="29"/>
        </w:numPr>
        <w:jc w:val="both"/>
      </w:pPr>
      <w:r>
        <w:t>Entertainment costs</w:t>
      </w:r>
    </w:p>
    <w:p w14:paraId="111B0CBC" w14:textId="07D0572D" w:rsidR="00A50642" w:rsidRDefault="00A50642" w:rsidP="0086078F">
      <w:pPr>
        <w:pStyle w:val="ListParagraph"/>
        <w:numPr>
          <w:ilvl w:val="0"/>
          <w:numId w:val="29"/>
        </w:numPr>
        <w:jc w:val="both"/>
      </w:pPr>
      <w:r>
        <w:t>General software upgrades and purchases</w:t>
      </w:r>
      <w:r w:rsidR="00706401">
        <w:t>,</w:t>
      </w:r>
      <w:r>
        <w:t xml:space="preserve"> </w:t>
      </w:r>
      <w:r w:rsidR="00EF7F97">
        <w:t>e.g.,</w:t>
      </w:r>
      <w:r>
        <w:t xml:space="preserve"> Microsoft Office/Windows operating systems</w:t>
      </w:r>
    </w:p>
    <w:p w14:paraId="55C44E5B" w14:textId="77777777" w:rsidR="00A50642" w:rsidRDefault="00A50642" w:rsidP="0086078F">
      <w:pPr>
        <w:pStyle w:val="ListParagraph"/>
        <w:numPr>
          <w:ilvl w:val="0"/>
          <w:numId w:val="29"/>
        </w:numPr>
        <w:jc w:val="both"/>
      </w:pPr>
      <w:r>
        <w:t>Feasibility studies</w:t>
      </w:r>
    </w:p>
    <w:p w14:paraId="66FECC87" w14:textId="77777777" w:rsidR="00A50642" w:rsidRDefault="00A50642" w:rsidP="0086078F">
      <w:pPr>
        <w:pStyle w:val="ListParagraph"/>
        <w:numPr>
          <w:ilvl w:val="0"/>
          <w:numId w:val="29"/>
        </w:numPr>
        <w:jc w:val="both"/>
      </w:pPr>
      <w:r>
        <w:t>Business plans</w:t>
      </w:r>
    </w:p>
    <w:p w14:paraId="095FE4BA" w14:textId="1E645CC8" w:rsidR="00A50642" w:rsidRDefault="00A50642" w:rsidP="0086078F">
      <w:pPr>
        <w:pStyle w:val="ListParagraph"/>
        <w:numPr>
          <w:ilvl w:val="0"/>
          <w:numId w:val="29"/>
        </w:numPr>
        <w:jc w:val="both"/>
      </w:pPr>
      <w:r>
        <w:t>Land acquisition</w:t>
      </w:r>
    </w:p>
    <w:p w14:paraId="49A70652" w14:textId="77777777" w:rsidR="009D7912" w:rsidRDefault="009D7912" w:rsidP="009D7912">
      <w:pPr>
        <w:jc w:val="both"/>
      </w:pPr>
    </w:p>
    <w:p w14:paraId="401711AD" w14:textId="705150DF" w:rsidR="00A50642" w:rsidRPr="00B40095" w:rsidRDefault="00B40095" w:rsidP="0086078F">
      <w:pPr>
        <w:pStyle w:val="Heading5"/>
        <w:spacing w:after="240"/>
        <w:jc w:val="both"/>
      </w:pPr>
      <w:r>
        <w:lastRenderedPageBreak/>
        <w:t>7.2</w:t>
      </w:r>
      <w:r>
        <w:tab/>
      </w:r>
      <w:r w:rsidR="00A50642" w:rsidRPr="00B40095">
        <w:t xml:space="preserve">Projects that </w:t>
      </w:r>
      <w:r w:rsidR="00147181" w:rsidRPr="00B40095">
        <w:t>should be met by an alternative funding source</w:t>
      </w:r>
    </w:p>
    <w:p w14:paraId="3CA0F698" w14:textId="64BD2CB8" w:rsidR="00147181" w:rsidRDefault="00147181" w:rsidP="0086078F">
      <w:pPr>
        <w:pStyle w:val="ListParagraph"/>
        <w:numPr>
          <w:ilvl w:val="0"/>
          <w:numId w:val="29"/>
        </w:numPr>
        <w:jc w:val="both"/>
      </w:pPr>
      <w:r>
        <w:t xml:space="preserve">Initiatives seeking retrospective funding for projects that have already </w:t>
      </w:r>
      <w:r w:rsidR="00DE03F9">
        <w:t>begun</w:t>
      </w:r>
      <w:r>
        <w:t xml:space="preserve"> or been announced</w:t>
      </w:r>
    </w:p>
    <w:p w14:paraId="06210A73" w14:textId="77777777" w:rsidR="00147181" w:rsidRDefault="00147181" w:rsidP="0086078F">
      <w:pPr>
        <w:pStyle w:val="ListParagraph"/>
        <w:numPr>
          <w:ilvl w:val="0"/>
          <w:numId w:val="29"/>
        </w:numPr>
        <w:jc w:val="both"/>
      </w:pPr>
      <w:r>
        <w:t>Projects undertaken by the private sector as a result of Victorian Government contractual arrangements or regulatory requirements</w:t>
      </w:r>
    </w:p>
    <w:p w14:paraId="3C9AA077" w14:textId="77777777" w:rsidR="00147181" w:rsidRDefault="00147181" w:rsidP="0086078F">
      <w:pPr>
        <w:pStyle w:val="ListParagraph"/>
        <w:numPr>
          <w:ilvl w:val="0"/>
          <w:numId w:val="29"/>
        </w:numPr>
        <w:jc w:val="both"/>
      </w:pPr>
      <w:r>
        <w:t>Projects requiring ongoing funding from the Victorian Government once completed</w:t>
      </w:r>
    </w:p>
    <w:p w14:paraId="2FB9A694" w14:textId="130AC209" w:rsidR="00147181" w:rsidRPr="00711984" w:rsidRDefault="00147181" w:rsidP="0086078F">
      <w:pPr>
        <w:pStyle w:val="ListParagraph"/>
        <w:numPr>
          <w:ilvl w:val="0"/>
          <w:numId w:val="29"/>
        </w:numPr>
        <w:jc w:val="both"/>
      </w:pPr>
      <w:r>
        <w:t>Projects that can be better implemented through another Commonwealth or Victorian Government funding program</w:t>
      </w:r>
    </w:p>
    <w:p w14:paraId="25F84E21" w14:textId="07FE80E7" w:rsidR="00147181" w:rsidRPr="00711984" w:rsidRDefault="00711984" w:rsidP="0086078F">
      <w:pPr>
        <w:pStyle w:val="Heading5"/>
        <w:spacing w:after="240"/>
        <w:jc w:val="both"/>
      </w:pPr>
      <w:r>
        <w:t>7.3</w:t>
      </w:r>
      <w:r>
        <w:tab/>
      </w:r>
      <w:r w:rsidR="004D6A93" w:rsidRPr="00711984">
        <w:t>Unsuitably qualified service providers</w:t>
      </w:r>
    </w:p>
    <w:p w14:paraId="1E63DA2D" w14:textId="77777777" w:rsidR="004D6A93" w:rsidRDefault="004D6A93" w:rsidP="0086078F">
      <w:pPr>
        <w:pStyle w:val="ListParagraph"/>
        <w:numPr>
          <w:ilvl w:val="0"/>
          <w:numId w:val="29"/>
        </w:numPr>
        <w:jc w:val="both"/>
      </w:pPr>
      <w:r>
        <w:t>Works carried out by unqualified service providers without the appropriate expertise to deliver the service</w:t>
      </w:r>
    </w:p>
    <w:p w14:paraId="15AD4954" w14:textId="632F0872" w:rsidR="004D6A93" w:rsidRPr="004D6A93" w:rsidRDefault="004D6A93" w:rsidP="0086078F">
      <w:pPr>
        <w:pStyle w:val="ListParagraph"/>
        <w:numPr>
          <w:ilvl w:val="0"/>
          <w:numId w:val="29"/>
        </w:numPr>
        <w:jc w:val="both"/>
      </w:pPr>
      <w:r>
        <w:t>Works carried out by third parties that are not considered by the Department to be sufficiently at “arm’s length” from an Applicant.</w:t>
      </w:r>
    </w:p>
    <w:p w14:paraId="5A69F146" w14:textId="77777777" w:rsidR="00A73EB7" w:rsidRPr="002002A8" w:rsidRDefault="00A73EB7" w:rsidP="00EB64B7">
      <w:pPr>
        <w:rPr>
          <w:sz w:val="12"/>
          <w:szCs w:val="12"/>
        </w:rPr>
      </w:pPr>
    </w:p>
    <w:p w14:paraId="5C8C30DE" w14:textId="745A7AC5" w:rsidR="009A637D" w:rsidRDefault="009A637D" w:rsidP="007159D1">
      <w:pPr>
        <w:pStyle w:val="Heading3"/>
        <w:numPr>
          <w:ilvl w:val="0"/>
          <w:numId w:val="12"/>
        </w:numPr>
        <w:rPr>
          <w:b/>
          <w:bCs/>
          <w:sz w:val="32"/>
          <w:szCs w:val="32"/>
        </w:rPr>
      </w:pPr>
      <w:bookmarkStart w:id="9" w:name="_Toc105166755"/>
      <w:r w:rsidRPr="005B3E33">
        <w:rPr>
          <w:b/>
          <w:bCs/>
          <w:sz w:val="32"/>
          <w:szCs w:val="32"/>
        </w:rPr>
        <w:t>Duration of project</w:t>
      </w:r>
      <w:r w:rsidR="00ED1163">
        <w:rPr>
          <w:b/>
          <w:bCs/>
          <w:sz w:val="32"/>
          <w:szCs w:val="32"/>
        </w:rPr>
        <w:t>s</w:t>
      </w:r>
      <w:bookmarkEnd w:id="9"/>
    </w:p>
    <w:p w14:paraId="722983C4" w14:textId="77777777" w:rsidR="00ED1163" w:rsidRDefault="00ED1163" w:rsidP="00ED1163"/>
    <w:p w14:paraId="331674FF" w14:textId="77777777" w:rsidR="00DE03F9" w:rsidRDefault="001257AB" w:rsidP="0086078F">
      <w:pPr>
        <w:jc w:val="both"/>
      </w:pPr>
      <w:r>
        <w:t>Pr</w:t>
      </w:r>
      <w:r w:rsidR="00ED1163" w:rsidRPr="00ED1163">
        <w:t>ojects should take no longer than 12 months to complete.</w:t>
      </w:r>
      <w:r w:rsidR="00ED1163">
        <w:t xml:space="preserve"> </w:t>
      </w:r>
      <w:r>
        <w:t xml:space="preserve">Where applicants </w:t>
      </w:r>
      <w:r w:rsidR="00DE03F9">
        <w:t>cannot</w:t>
      </w:r>
      <w:r>
        <w:t xml:space="preserve"> deliver funded projects within this period, they must inform the Department of why a longer duration is required.</w:t>
      </w:r>
    </w:p>
    <w:p w14:paraId="7C611CFF" w14:textId="76A1AA7D" w:rsidR="00ED1163" w:rsidRDefault="00ED1163" w:rsidP="0086078F">
      <w:pPr>
        <w:jc w:val="both"/>
      </w:pPr>
      <w:r w:rsidRPr="00ED1163">
        <w:t>Projects must be completed within the timeframes specified in the Grant Agreement.</w:t>
      </w:r>
    </w:p>
    <w:p w14:paraId="49AA5CF0" w14:textId="77777777" w:rsidR="00ED1163" w:rsidRPr="002002A8" w:rsidRDefault="00ED1163" w:rsidP="00ED1163">
      <w:pPr>
        <w:rPr>
          <w:sz w:val="12"/>
          <w:szCs w:val="12"/>
        </w:rPr>
      </w:pPr>
    </w:p>
    <w:p w14:paraId="638E10B1" w14:textId="77777777" w:rsidR="006E6B98" w:rsidRPr="006E6B98" w:rsidRDefault="006E6B98" w:rsidP="007159D1">
      <w:pPr>
        <w:pStyle w:val="Heading3"/>
        <w:numPr>
          <w:ilvl w:val="0"/>
          <w:numId w:val="12"/>
        </w:numPr>
        <w:rPr>
          <w:b/>
          <w:bCs/>
          <w:sz w:val="32"/>
          <w:szCs w:val="32"/>
        </w:rPr>
      </w:pPr>
      <w:bookmarkStart w:id="10" w:name="_TOC_250005"/>
      <w:bookmarkStart w:id="11" w:name="_Toc105166756"/>
      <w:r w:rsidRPr="006E6B98">
        <w:rPr>
          <w:b/>
          <w:bCs/>
          <w:sz w:val="32"/>
          <w:szCs w:val="32"/>
        </w:rPr>
        <w:t xml:space="preserve">Application </w:t>
      </w:r>
      <w:bookmarkEnd w:id="10"/>
      <w:r w:rsidRPr="006E6B98">
        <w:rPr>
          <w:b/>
          <w:bCs/>
          <w:sz w:val="32"/>
          <w:szCs w:val="32"/>
        </w:rPr>
        <w:t>Process</w:t>
      </w:r>
      <w:bookmarkEnd w:id="11"/>
    </w:p>
    <w:p w14:paraId="02E34300" w14:textId="77777777" w:rsidR="006E6B98" w:rsidRDefault="006E6B98" w:rsidP="00ED1163"/>
    <w:p w14:paraId="1E6FC6AE" w14:textId="7D3855C6" w:rsidR="000E425D" w:rsidRDefault="000E425D" w:rsidP="0086078F">
      <w:pPr>
        <w:jc w:val="both"/>
      </w:pPr>
      <w:r>
        <w:t xml:space="preserve">Potential Applicants are encouraged to carefully consider their ability to meet </w:t>
      </w:r>
      <w:r w:rsidR="001E72FE">
        <w:t>Program</w:t>
      </w:r>
      <w:r>
        <w:t xml:space="preserve"> objectives and requirements and how they will perform against the assessment criteria before</w:t>
      </w:r>
      <w:r w:rsidR="00EC180F">
        <w:t xml:space="preserve"> applying</w:t>
      </w:r>
      <w:r>
        <w:t>.</w:t>
      </w:r>
    </w:p>
    <w:p w14:paraId="7B622207" w14:textId="77777777" w:rsidR="007D54DE" w:rsidRDefault="00761B2E" w:rsidP="0086078F">
      <w:pPr>
        <w:jc w:val="both"/>
      </w:pPr>
      <w:r>
        <w:t>Applicants will need to have engaged with Hanwha and will be required to attest that Hanwha is supportive of their application to this Program.</w:t>
      </w:r>
    </w:p>
    <w:p w14:paraId="377FF022" w14:textId="0F2B9182" w:rsidR="007D54DE" w:rsidRDefault="007D54DE" w:rsidP="0086078F">
      <w:pPr>
        <w:jc w:val="both"/>
      </w:pPr>
      <w:r>
        <w:t xml:space="preserve">The department </w:t>
      </w:r>
      <w:r w:rsidR="0044121D">
        <w:t xml:space="preserve">may </w:t>
      </w:r>
      <w:r>
        <w:t>verify</w:t>
      </w:r>
      <w:r w:rsidR="008160DB">
        <w:t xml:space="preserve"> </w:t>
      </w:r>
      <w:r w:rsidR="002F4096">
        <w:t xml:space="preserve">the </w:t>
      </w:r>
      <w:r w:rsidR="00CD5BD7">
        <w:t xml:space="preserve">applicant’s </w:t>
      </w:r>
      <w:r w:rsidR="008160DB">
        <w:t>company name and project description with Hanwha Defense Australia</w:t>
      </w:r>
      <w:r w:rsidR="002F4096">
        <w:t xml:space="preserve"> to confirm </w:t>
      </w:r>
      <w:r w:rsidR="008232C3">
        <w:t xml:space="preserve">their eligibility. </w:t>
      </w:r>
    </w:p>
    <w:p w14:paraId="190AF48F" w14:textId="29F3F3EE" w:rsidR="00EC180F" w:rsidRDefault="000E425D" w:rsidP="0086078F">
      <w:pPr>
        <w:jc w:val="both"/>
      </w:pPr>
      <w:r>
        <w:t>Applicants will be required to provide</w:t>
      </w:r>
      <w:r w:rsidR="00761B2E">
        <w:t xml:space="preserve"> </w:t>
      </w:r>
      <w:r>
        <w:t xml:space="preserve">quotations and estimates </w:t>
      </w:r>
      <w:r w:rsidR="00EC180F">
        <w:t>to</w:t>
      </w:r>
      <w:r>
        <w:t xml:space="preserve"> support their applications</w:t>
      </w:r>
      <w:r w:rsidR="00C534D2">
        <w:t>.</w:t>
      </w:r>
    </w:p>
    <w:p w14:paraId="06AC25FF" w14:textId="2CD5C0D0" w:rsidR="00C534D2" w:rsidRDefault="00C534D2" w:rsidP="0086078F">
      <w:pPr>
        <w:jc w:val="both"/>
      </w:pPr>
      <w:r w:rsidRPr="00B6664D">
        <w:t xml:space="preserve">The Program is open until </w:t>
      </w:r>
      <w:r w:rsidRPr="006523AF">
        <w:t>30 June 2024</w:t>
      </w:r>
      <w:r w:rsidRPr="00B6664D">
        <w:t xml:space="preserve"> or until funds have been exhausted. </w:t>
      </w:r>
    </w:p>
    <w:p w14:paraId="281C06A7" w14:textId="77777777" w:rsidR="000B7314" w:rsidRDefault="000B7314" w:rsidP="0086078F">
      <w:pPr>
        <w:jc w:val="both"/>
        <w:rPr>
          <w:sz w:val="12"/>
          <w:szCs w:val="12"/>
        </w:rPr>
      </w:pPr>
    </w:p>
    <w:p w14:paraId="32F83C13" w14:textId="77777777" w:rsidR="002002A8" w:rsidRPr="002002A8" w:rsidRDefault="002002A8" w:rsidP="0086078F">
      <w:pPr>
        <w:jc w:val="both"/>
        <w:rPr>
          <w:sz w:val="12"/>
          <w:szCs w:val="12"/>
        </w:rPr>
      </w:pPr>
    </w:p>
    <w:p w14:paraId="3B2E165E" w14:textId="2439B269" w:rsidR="000E425D" w:rsidRPr="001257AB" w:rsidRDefault="00761B2E" w:rsidP="002B6F0B">
      <w:pPr>
        <w:pStyle w:val="Heading5"/>
        <w:spacing w:after="240"/>
      </w:pPr>
      <w:r>
        <w:lastRenderedPageBreak/>
        <w:t>9</w:t>
      </w:r>
      <w:r w:rsidR="000E425D" w:rsidRPr="001257AB">
        <w:t>.1</w:t>
      </w:r>
      <w:r w:rsidR="000E425D" w:rsidRPr="001257AB">
        <w:tab/>
        <w:t>How to Apply</w:t>
      </w:r>
    </w:p>
    <w:p w14:paraId="721CD5B5" w14:textId="6AF9A906" w:rsidR="000E425D" w:rsidRDefault="000E425D" w:rsidP="0086078F">
      <w:pPr>
        <w:jc w:val="both"/>
      </w:pPr>
      <w:r>
        <w:t xml:space="preserve">Applicants are encouraged to first speak to members from the Victorian Defence, Aviation and Aerospace Branch, to discuss their project and to determine eligibility before formally applying for a grant. Contact details are included in </w:t>
      </w:r>
      <w:r w:rsidRPr="001257AB">
        <w:t>section 1</w:t>
      </w:r>
      <w:r w:rsidR="00FE17F4">
        <w:t>5</w:t>
      </w:r>
      <w:r>
        <w:t xml:space="preserve"> of this document.</w:t>
      </w:r>
    </w:p>
    <w:p w14:paraId="1215E00A" w14:textId="3CBCC0BD" w:rsidR="00793B1C" w:rsidRDefault="000E425D" w:rsidP="0086078F">
      <w:pPr>
        <w:jc w:val="both"/>
      </w:pPr>
      <w:r>
        <w:t>Applicants can submit a completed application via th</w:t>
      </w:r>
      <w:r w:rsidR="00AF3040">
        <w:t xml:space="preserve">is </w:t>
      </w:r>
      <w:hyperlink r:id="rId14" w:history="1">
        <w:r w:rsidR="00AF3040" w:rsidRPr="00FE7BF6">
          <w:rPr>
            <w:rStyle w:val="Hyperlink"/>
          </w:rPr>
          <w:t>website</w:t>
        </w:r>
      </w:hyperlink>
      <w:r w:rsidR="00AF3040">
        <w:t xml:space="preserve">. </w:t>
      </w:r>
    </w:p>
    <w:p w14:paraId="01A2C797" w14:textId="395C895E" w:rsidR="000E425D" w:rsidRDefault="000E425D" w:rsidP="0086078F">
      <w:pPr>
        <w:jc w:val="both"/>
      </w:pPr>
      <w:r>
        <w:t>Applicants will be advised in writing</w:t>
      </w:r>
      <w:r w:rsidR="00BF4DAA">
        <w:t xml:space="preserve"> of the outcome of their applications, including those whose applications are unsuccessful</w:t>
      </w:r>
      <w:r>
        <w:t>.</w:t>
      </w:r>
    </w:p>
    <w:p w14:paraId="5CCFA579" w14:textId="061C89C1" w:rsidR="000E425D" w:rsidRPr="001257AB" w:rsidRDefault="00761B2E" w:rsidP="002B6F0B">
      <w:pPr>
        <w:pStyle w:val="Heading5"/>
        <w:spacing w:after="240"/>
      </w:pPr>
      <w:r>
        <w:t>9</w:t>
      </w:r>
      <w:r w:rsidR="000E425D" w:rsidRPr="001257AB">
        <w:t>.2</w:t>
      </w:r>
      <w:r w:rsidR="000E425D" w:rsidRPr="001257AB">
        <w:tab/>
        <w:t>Applications</w:t>
      </w:r>
    </w:p>
    <w:p w14:paraId="250C06F3" w14:textId="77777777" w:rsidR="000E425D" w:rsidRDefault="000E425D" w:rsidP="0086078F">
      <w:pPr>
        <w:jc w:val="both"/>
      </w:pPr>
      <w:r>
        <w:t>Applications can only be made using the electronic link provided and must be submitted online. Printed, facsimile, posted or other methods of delivery of the application form will not be accepted.</w:t>
      </w:r>
    </w:p>
    <w:p w14:paraId="6C116FFE" w14:textId="77777777" w:rsidR="00E25605" w:rsidRDefault="000E425D" w:rsidP="0086078F">
      <w:pPr>
        <w:jc w:val="both"/>
      </w:pPr>
      <w:r>
        <w:t xml:space="preserve">All sections of the application form must be completed in </w:t>
      </w:r>
      <w:r w:rsidR="00761B2E">
        <w:t>full,</w:t>
      </w:r>
      <w:r>
        <w:t xml:space="preserve"> and all requested attachments provided.</w:t>
      </w:r>
      <w:r w:rsidR="00CA4CE1">
        <w:t xml:space="preserve"> </w:t>
      </w:r>
    </w:p>
    <w:p w14:paraId="1E7F9047" w14:textId="4738E0B6" w:rsidR="00265CAC" w:rsidRDefault="000E425D" w:rsidP="0086078F">
      <w:pPr>
        <w:jc w:val="both"/>
      </w:pPr>
      <w:r>
        <w:t xml:space="preserve">Applicants </w:t>
      </w:r>
      <w:r w:rsidR="00014E1E">
        <w:t>will be</w:t>
      </w:r>
      <w:r>
        <w:t xml:space="preserve"> asked to</w:t>
      </w:r>
      <w:r w:rsidR="00014E1E">
        <w:t xml:space="preserve"> provide project information, including</w:t>
      </w:r>
      <w:r>
        <w:t>:</w:t>
      </w:r>
    </w:p>
    <w:p w14:paraId="64467165" w14:textId="16784F60" w:rsidR="000E425D" w:rsidRDefault="000E425D" w:rsidP="0086078F">
      <w:pPr>
        <w:pStyle w:val="ListParagraph"/>
        <w:numPr>
          <w:ilvl w:val="1"/>
          <w:numId w:val="10"/>
        </w:numPr>
        <w:jc w:val="both"/>
      </w:pPr>
      <w:r>
        <w:t>a description of the project and expected project outcomes</w:t>
      </w:r>
    </w:p>
    <w:p w14:paraId="7D792D45" w14:textId="62968100" w:rsidR="000E425D" w:rsidRDefault="000E425D" w:rsidP="0086078F">
      <w:pPr>
        <w:pStyle w:val="ListParagraph"/>
        <w:numPr>
          <w:ilvl w:val="1"/>
          <w:numId w:val="10"/>
        </w:numPr>
        <w:jc w:val="both"/>
      </w:pPr>
      <w:r>
        <w:t>reasons for undertaking the project</w:t>
      </w:r>
    </w:p>
    <w:p w14:paraId="2CCA9A64" w14:textId="1FAEF727" w:rsidR="000E425D" w:rsidRDefault="000E425D" w:rsidP="0086078F">
      <w:pPr>
        <w:pStyle w:val="ListParagraph"/>
        <w:numPr>
          <w:ilvl w:val="1"/>
          <w:numId w:val="10"/>
        </w:numPr>
        <w:jc w:val="both"/>
      </w:pPr>
      <w:r>
        <w:t>the key personnel, associated costs, delivery timeframes, key milestones and deliverables</w:t>
      </w:r>
    </w:p>
    <w:p w14:paraId="7391BE93" w14:textId="441262DF" w:rsidR="000E425D" w:rsidRDefault="00265CAC" w:rsidP="0086078F">
      <w:pPr>
        <w:pStyle w:val="ListParagraph"/>
        <w:numPr>
          <w:ilvl w:val="1"/>
          <w:numId w:val="10"/>
        </w:numPr>
        <w:jc w:val="both"/>
      </w:pPr>
      <w:r>
        <w:t xml:space="preserve">a </w:t>
      </w:r>
      <w:r w:rsidR="000E425D">
        <w:t>risk management plan</w:t>
      </w:r>
    </w:p>
    <w:p w14:paraId="3948FBD9" w14:textId="793C8120" w:rsidR="000E425D" w:rsidRDefault="000E425D" w:rsidP="0086078F">
      <w:pPr>
        <w:pStyle w:val="ListParagraph"/>
        <w:numPr>
          <w:ilvl w:val="1"/>
          <w:numId w:val="10"/>
        </w:numPr>
        <w:jc w:val="both"/>
      </w:pPr>
      <w:r>
        <w:t>a project budget.</w:t>
      </w:r>
    </w:p>
    <w:p w14:paraId="665C196F" w14:textId="6415F609" w:rsidR="00634FE2" w:rsidRPr="00027583" w:rsidRDefault="00027583" w:rsidP="002B6F0B">
      <w:pPr>
        <w:pStyle w:val="Heading5"/>
        <w:spacing w:after="240"/>
      </w:pPr>
      <w:r>
        <w:t xml:space="preserve">9.3 </w:t>
      </w:r>
      <w:r>
        <w:tab/>
      </w:r>
      <w:r w:rsidR="009D65CE" w:rsidRPr="00027583">
        <w:t>Required Documentation</w:t>
      </w:r>
    </w:p>
    <w:p w14:paraId="63102741" w14:textId="31167BD9" w:rsidR="00A5002C" w:rsidRPr="00027583" w:rsidRDefault="00E44936" w:rsidP="0086078F">
      <w:pPr>
        <w:pStyle w:val="ListParagraph"/>
        <w:numPr>
          <w:ilvl w:val="0"/>
          <w:numId w:val="16"/>
        </w:numPr>
        <w:jc w:val="both"/>
      </w:pPr>
      <w:r w:rsidRPr="00027583">
        <w:t xml:space="preserve">Quotes for eligible project expenditure for the </w:t>
      </w:r>
      <w:r w:rsidR="00F57532" w:rsidRPr="00027583">
        <w:t xml:space="preserve">total </w:t>
      </w:r>
      <w:r w:rsidRPr="00027583">
        <w:t>Project cost (grant plus matched funding)</w:t>
      </w:r>
    </w:p>
    <w:p w14:paraId="6D56D3A1" w14:textId="4CBB84B7" w:rsidR="00103F49" w:rsidRPr="00027583" w:rsidRDefault="00103F49" w:rsidP="0086078F">
      <w:pPr>
        <w:pStyle w:val="ListParagraph"/>
        <w:numPr>
          <w:ilvl w:val="0"/>
          <w:numId w:val="16"/>
        </w:numPr>
        <w:jc w:val="both"/>
        <w:rPr>
          <w:b/>
          <w:bCs/>
        </w:rPr>
      </w:pPr>
      <w:r w:rsidRPr="00027583">
        <w:t xml:space="preserve">Cash-contribution </w:t>
      </w:r>
      <w:r w:rsidR="00DB6A33" w:rsidRPr="00027583">
        <w:t>evidence</w:t>
      </w:r>
      <w:r w:rsidR="00A921AB" w:rsidRPr="00027583">
        <w:t>, se</w:t>
      </w:r>
      <w:r w:rsidR="006906FD" w:rsidRPr="00027583">
        <w:t xml:space="preserve">e </w:t>
      </w:r>
      <w:r w:rsidR="00027583" w:rsidRPr="00027583">
        <w:rPr>
          <w:b/>
          <w:bCs/>
        </w:rPr>
        <w:t>Section 9.</w:t>
      </w:r>
      <w:r w:rsidR="00DE03F9">
        <w:rPr>
          <w:b/>
          <w:bCs/>
        </w:rPr>
        <w:t>4</w:t>
      </w:r>
      <w:r w:rsidR="00027583" w:rsidRPr="00027583">
        <w:rPr>
          <w:b/>
          <w:bCs/>
        </w:rPr>
        <w:t xml:space="preserve"> below</w:t>
      </w:r>
    </w:p>
    <w:p w14:paraId="2B66CF3C" w14:textId="08422E89" w:rsidR="00932642" w:rsidRPr="00027583" w:rsidRDefault="0009219A" w:rsidP="0086078F">
      <w:pPr>
        <w:pStyle w:val="ListParagraph"/>
        <w:numPr>
          <w:ilvl w:val="0"/>
          <w:numId w:val="16"/>
        </w:numPr>
        <w:jc w:val="both"/>
        <w:rPr>
          <w:b/>
          <w:bCs/>
        </w:rPr>
      </w:pPr>
      <w:r w:rsidRPr="00027583">
        <w:t xml:space="preserve">Financial information as required in </w:t>
      </w:r>
      <w:r w:rsidRPr="00027583">
        <w:rPr>
          <w:b/>
          <w:bCs/>
        </w:rPr>
        <w:t>Section 9.</w:t>
      </w:r>
      <w:r w:rsidR="00594CA0">
        <w:rPr>
          <w:b/>
          <w:bCs/>
        </w:rPr>
        <w:t>5</w:t>
      </w:r>
      <w:r w:rsidRPr="00027583">
        <w:rPr>
          <w:b/>
          <w:bCs/>
        </w:rPr>
        <w:t xml:space="preserve"> below</w:t>
      </w:r>
    </w:p>
    <w:p w14:paraId="643D0D3F" w14:textId="00BB40C4" w:rsidR="00E44936" w:rsidRPr="00027583" w:rsidRDefault="00AD4870" w:rsidP="0086078F">
      <w:pPr>
        <w:pStyle w:val="ListParagraph"/>
        <w:numPr>
          <w:ilvl w:val="0"/>
          <w:numId w:val="16"/>
        </w:numPr>
        <w:jc w:val="both"/>
      </w:pPr>
      <w:r w:rsidRPr="00027583">
        <w:t xml:space="preserve">Where relevant, evidence </w:t>
      </w:r>
      <w:r w:rsidR="00A31E84" w:rsidRPr="00027583">
        <w:t xml:space="preserve">verifying </w:t>
      </w:r>
      <w:r w:rsidRPr="00027583">
        <w:t>that any direct exports by the Applicant will be allowed under relevant Australian and international laws</w:t>
      </w:r>
    </w:p>
    <w:p w14:paraId="075270B5" w14:textId="166EE0DB" w:rsidR="00F57532" w:rsidRPr="00027583" w:rsidRDefault="00DF1B2E" w:rsidP="0086078F">
      <w:pPr>
        <w:pStyle w:val="ListParagraph"/>
        <w:numPr>
          <w:ilvl w:val="0"/>
          <w:numId w:val="16"/>
        </w:numPr>
        <w:jc w:val="both"/>
      </w:pPr>
      <w:r>
        <w:t>budget</w:t>
      </w:r>
      <w:r w:rsidRPr="00027583">
        <w:t xml:space="preserve"> </w:t>
      </w:r>
      <w:r w:rsidR="00F57532" w:rsidRPr="00027583">
        <w:t xml:space="preserve">information such as the </w:t>
      </w:r>
      <w:r w:rsidR="00027583">
        <w:t xml:space="preserve">nominated grant amounts and deliverables and </w:t>
      </w:r>
      <w:r w:rsidR="00F57532" w:rsidRPr="00027583">
        <w:t>quotes for project related tasks</w:t>
      </w:r>
    </w:p>
    <w:p w14:paraId="0BEC3FD8" w14:textId="074561C0" w:rsidR="00DB6A33" w:rsidRPr="00027583" w:rsidRDefault="002B6F0B" w:rsidP="002B6F0B">
      <w:pPr>
        <w:pStyle w:val="Heading5"/>
        <w:spacing w:after="240"/>
      </w:pPr>
      <w:r>
        <w:t>9.4</w:t>
      </w:r>
      <w:r w:rsidR="00027583">
        <w:t xml:space="preserve"> </w:t>
      </w:r>
      <w:r w:rsidR="00027583">
        <w:tab/>
      </w:r>
      <w:r w:rsidR="00EC4815" w:rsidRPr="00027583">
        <w:t>Cash co-contribution evidence</w:t>
      </w:r>
    </w:p>
    <w:p w14:paraId="44DA49B3" w14:textId="73B265DA" w:rsidR="006B547D" w:rsidRDefault="00A71871" w:rsidP="0086078F">
      <w:pPr>
        <w:jc w:val="both"/>
      </w:pPr>
      <w:r>
        <w:t>A</w:t>
      </w:r>
      <w:r w:rsidR="006B547D" w:rsidRPr="004D5F54">
        <w:t>pplica</w:t>
      </w:r>
      <w:r w:rsidR="00694EDF">
        <w:t>n</w:t>
      </w:r>
      <w:r w:rsidR="006B547D" w:rsidRPr="004D5F54">
        <w:t xml:space="preserve">ts </w:t>
      </w:r>
      <w:r w:rsidR="00694EDF">
        <w:t>may</w:t>
      </w:r>
      <w:r w:rsidR="00694EDF" w:rsidRPr="004D5F54">
        <w:t xml:space="preserve"> </w:t>
      </w:r>
      <w:r w:rsidR="006B547D" w:rsidRPr="004D5F54">
        <w:t xml:space="preserve">also be </w:t>
      </w:r>
      <w:r w:rsidR="00F819BC">
        <w:t>required to supply</w:t>
      </w:r>
      <w:r w:rsidR="006B547D" w:rsidRPr="004D5F54">
        <w:t xml:space="preserve"> documentation</w:t>
      </w:r>
      <w:r w:rsidR="00A96C1C">
        <w:t xml:space="preserve"> </w:t>
      </w:r>
      <w:r w:rsidR="006B547D" w:rsidRPr="004D5F54">
        <w:t>that provides</w:t>
      </w:r>
      <w:r w:rsidR="006B547D">
        <w:t xml:space="preserve"> details of the cash </w:t>
      </w:r>
      <w:r w:rsidR="004673E0">
        <w:br/>
      </w:r>
      <w:r w:rsidR="006B547D">
        <w:t>co-contribution</w:t>
      </w:r>
      <w:r w:rsidR="006B547D" w:rsidRPr="00A71871">
        <w:t xml:space="preserve">, </w:t>
      </w:r>
      <w:r w:rsidR="00A96C1C" w:rsidRPr="00A71871">
        <w:t>such as</w:t>
      </w:r>
      <w:r w:rsidR="006B547D" w:rsidRPr="00A71871">
        <w:t>:</w:t>
      </w:r>
    </w:p>
    <w:p w14:paraId="054A1FE3" w14:textId="14F352A0" w:rsidR="006B547D" w:rsidRDefault="006B547D" w:rsidP="0086078F">
      <w:pPr>
        <w:pStyle w:val="ListParagraph"/>
        <w:numPr>
          <w:ilvl w:val="0"/>
          <w:numId w:val="10"/>
        </w:numPr>
        <w:jc w:val="both"/>
      </w:pPr>
      <w:r>
        <w:t>evidence of support from the Board or Applicant owner that the Applicant can undertake the project and meet its cash co-contribution obligation; and</w:t>
      </w:r>
    </w:p>
    <w:p w14:paraId="07B60DD4" w14:textId="04AC5A9F" w:rsidR="006B547D" w:rsidRDefault="006B547D" w:rsidP="0086078F">
      <w:pPr>
        <w:pStyle w:val="ListParagraph"/>
        <w:numPr>
          <w:ilvl w:val="0"/>
          <w:numId w:val="10"/>
        </w:numPr>
        <w:jc w:val="both"/>
      </w:pPr>
      <w:r>
        <w:t>an approved loan facility from a reputable Australian bank (including loan amount);</w:t>
      </w:r>
    </w:p>
    <w:p w14:paraId="6E3D20A1" w14:textId="7487680E" w:rsidR="006B547D" w:rsidRDefault="006B547D" w:rsidP="0086078F">
      <w:pPr>
        <w:pStyle w:val="ListParagraph"/>
        <w:numPr>
          <w:ilvl w:val="0"/>
          <w:numId w:val="10"/>
        </w:numPr>
        <w:jc w:val="both"/>
      </w:pPr>
      <w:r>
        <w:t>cash at bank (current bank statement from a reputable Australian bank); or</w:t>
      </w:r>
    </w:p>
    <w:p w14:paraId="003773AC" w14:textId="3B6A1B5D" w:rsidR="00387865" w:rsidRDefault="006B547D" w:rsidP="0086078F">
      <w:pPr>
        <w:pStyle w:val="ListParagraph"/>
        <w:numPr>
          <w:ilvl w:val="0"/>
          <w:numId w:val="10"/>
        </w:numPr>
        <w:jc w:val="both"/>
      </w:pPr>
      <w:r>
        <w:t>management accounts demonstrating satisfactory cash flow or liquid assets.</w:t>
      </w:r>
    </w:p>
    <w:p w14:paraId="70B1B3E2" w14:textId="5913EFF2" w:rsidR="64B649F7" w:rsidRDefault="001F26F3" w:rsidP="002B6F0B">
      <w:pPr>
        <w:pStyle w:val="Heading5"/>
        <w:spacing w:after="240"/>
      </w:pPr>
      <w:r w:rsidRPr="00A71871">
        <w:lastRenderedPageBreak/>
        <w:t>9.</w:t>
      </w:r>
      <w:r w:rsidR="00D00BEA">
        <w:t>5</w:t>
      </w:r>
      <w:r w:rsidRPr="00A71871">
        <w:tab/>
      </w:r>
      <w:r w:rsidRPr="002B6F0B">
        <w:t>Financial Risk Assessment</w:t>
      </w:r>
    </w:p>
    <w:p w14:paraId="1FDD322B" w14:textId="7A762311" w:rsidR="006B547D" w:rsidRDefault="00EC6263" w:rsidP="0086078F">
      <w:pPr>
        <w:jc w:val="both"/>
      </w:pPr>
      <w:r>
        <w:t xml:space="preserve">In relation to </w:t>
      </w:r>
      <w:r w:rsidR="006B547D">
        <w:t xml:space="preserve">Grants </w:t>
      </w:r>
      <w:r w:rsidR="00EE71D5">
        <w:t xml:space="preserve">of </w:t>
      </w:r>
      <w:r w:rsidR="006B547D">
        <w:t xml:space="preserve">$50,001 </w:t>
      </w:r>
      <w:r w:rsidR="00EE71D5">
        <w:t>and more</w:t>
      </w:r>
      <w:r w:rsidR="006B547D">
        <w:t xml:space="preserve"> (exc</w:t>
      </w:r>
      <w:r w:rsidR="00DB0677">
        <w:t>.</w:t>
      </w:r>
      <w:r w:rsidR="006B547D">
        <w:t xml:space="preserve"> GST):</w:t>
      </w:r>
    </w:p>
    <w:p w14:paraId="6C85FC4F" w14:textId="2296C4E4" w:rsidR="006B547D" w:rsidRDefault="006B547D" w:rsidP="0086078F">
      <w:pPr>
        <w:pStyle w:val="ListParagraph"/>
        <w:numPr>
          <w:ilvl w:val="0"/>
          <w:numId w:val="10"/>
        </w:numPr>
        <w:jc w:val="both"/>
      </w:pPr>
      <w:r>
        <w:t>Applicant</w:t>
      </w:r>
      <w:r w:rsidR="001A16F2">
        <w:t>s</w:t>
      </w:r>
      <w:r>
        <w:t xml:space="preserve"> must submit a</w:t>
      </w:r>
      <w:r w:rsidR="001E7891">
        <w:t>udited</w:t>
      </w:r>
      <w:r>
        <w:t xml:space="preserve"> financial report</w:t>
      </w:r>
      <w:r w:rsidR="001E7891">
        <w:t>s</w:t>
      </w:r>
      <w:r>
        <w:t xml:space="preserve"> for the last </w:t>
      </w:r>
      <w:r w:rsidR="00340B1E">
        <w:t xml:space="preserve">three </w:t>
      </w:r>
      <w:r>
        <w:t>financial years</w:t>
      </w:r>
      <w:r w:rsidR="009E0AE9">
        <w:t>*</w:t>
      </w:r>
      <w:r>
        <w:t>. This should be the ‘final accounts’ with Directors’ Report &amp; Declaration and should include Profit &amp; Loss Statement, Balance Sheet and Notes to the Accounts.</w:t>
      </w:r>
    </w:p>
    <w:p w14:paraId="6B2D4527" w14:textId="3DF5BA46" w:rsidR="006B547D" w:rsidRDefault="006B547D" w:rsidP="0086078F">
      <w:pPr>
        <w:pStyle w:val="ListParagraph"/>
        <w:numPr>
          <w:ilvl w:val="0"/>
          <w:numId w:val="10"/>
        </w:numPr>
        <w:jc w:val="both"/>
      </w:pPr>
      <w:r>
        <w:t>Where the latest financial report is more than six months old:</w:t>
      </w:r>
    </w:p>
    <w:p w14:paraId="42C2DD15" w14:textId="77777777" w:rsidR="006B547D" w:rsidRDefault="006B547D" w:rsidP="68676EF4">
      <w:pPr>
        <w:pStyle w:val="ListParagraph"/>
        <w:numPr>
          <w:ilvl w:val="1"/>
          <w:numId w:val="10"/>
        </w:numPr>
        <w:jc w:val="both"/>
      </w:pPr>
      <w:r>
        <w:t>up to date management or interim accounts (Profit &amp; Loss Statement and Balance Sheet).</w:t>
      </w:r>
    </w:p>
    <w:p w14:paraId="5F4200BB" w14:textId="77777777" w:rsidR="00077297" w:rsidRPr="004670E0" w:rsidRDefault="00077297" w:rsidP="00077297">
      <w:pPr>
        <w:pStyle w:val="ListParagraph"/>
        <w:numPr>
          <w:ilvl w:val="0"/>
          <w:numId w:val="10"/>
        </w:numPr>
        <w:autoSpaceDE w:val="0"/>
        <w:autoSpaceDN w:val="0"/>
        <w:adjustRightInd w:val="0"/>
        <w:spacing w:after="0" w:line="240" w:lineRule="auto"/>
        <w:rPr>
          <w:rFonts w:cstheme="minorHAnsi"/>
          <w:b/>
          <w:bCs/>
          <w:color w:val="181717"/>
        </w:rPr>
      </w:pPr>
      <w:r w:rsidRPr="004670E0">
        <w:rPr>
          <w:rFonts w:cstheme="minorHAnsi"/>
          <w:color w:val="181717"/>
        </w:rPr>
        <w:t xml:space="preserve">Current </w:t>
      </w:r>
      <w:r w:rsidRPr="00DB0677">
        <w:rPr>
          <w:rFonts w:cstheme="minorHAnsi"/>
          <w:color w:val="181717"/>
        </w:rPr>
        <w:t>Business Plan, or project proposal</w:t>
      </w:r>
    </w:p>
    <w:p w14:paraId="0222F2A9" w14:textId="77777777" w:rsidR="00077297" w:rsidRPr="004670E0" w:rsidRDefault="00077297" w:rsidP="00077297">
      <w:pPr>
        <w:pStyle w:val="ListParagraph"/>
        <w:numPr>
          <w:ilvl w:val="0"/>
          <w:numId w:val="10"/>
        </w:numPr>
        <w:autoSpaceDE w:val="0"/>
        <w:autoSpaceDN w:val="0"/>
        <w:adjustRightInd w:val="0"/>
        <w:spacing w:after="0" w:line="240" w:lineRule="auto"/>
        <w:rPr>
          <w:rFonts w:cstheme="minorHAnsi"/>
          <w:color w:val="181717"/>
        </w:rPr>
      </w:pPr>
      <w:r w:rsidRPr="004670E0">
        <w:rPr>
          <w:rFonts w:cstheme="minorHAnsi"/>
          <w:color w:val="181717"/>
        </w:rPr>
        <w:t xml:space="preserve">For project-based applications, the </w:t>
      </w:r>
      <w:r w:rsidRPr="00DB0677">
        <w:rPr>
          <w:rFonts w:cstheme="minorHAnsi"/>
          <w:color w:val="181717"/>
        </w:rPr>
        <w:t>company’s financial projections** for</w:t>
      </w:r>
      <w:r w:rsidRPr="004670E0">
        <w:rPr>
          <w:rFonts w:cstheme="minorHAnsi"/>
          <w:color w:val="181717"/>
        </w:rPr>
        <w:t xml:space="preserve"> the next three financial years, including:</w:t>
      </w:r>
    </w:p>
    <w:p w14:paraId="11C3E004" w14:textId="77777777" w:rsidR="00077297" w:rsidRPr="004670E0" w:rsidRDefault="00077297" w:rsidP="00445F27">
      <w:pPr>
        <w:autoSpaceDE w:val="0"/>
        <w:autoSpaceDN w:val="0"/>
        <w:adjustRightInd w:val="0"/>
        <w:spacing w:after="0" w:line="240" w:lineRule="auto"/>
        <w:ind w:firstLine="720"/>
        <w:rPr>
          <w:rFonts w:cstheme="minorHAnsi"/>
          <w:color w:val="181717"/>
        </w:rPr>
      </w:pPr>
      <w:r w:rsidRPr="004670E0">
        <w:rPr>
          <w:rFonts w:cstheme="minorHAnsi"/>
          <w:b/>
          <w:bCs/>
          <w:color w:val="181717"/>
        </w:rPr>
        <w:t xml:space="preserve">– </w:t>
      </w:r>
      <w:r w:rsidRPr="004670E0">
        <w:rPr>
          <w:rFonts w:cstheme="minorHAnsi"/>
          <w:color w:val="181717"/>
        </w:rPr>
        <w:t>Profit and Loss</w:t>
      </w:r>
    </w:p>
    <w:p w14:paraId="59F9CD33" w14:textId="44CAA58C" w:rsidR="00077297" w:rsidRPr="00900796" w:rsidRDefault="00077297" w:rsidP="00445F27">
      <w:pPr>
        <w:ind w:firstLine="720"/>
        <w:rPr>
          <w:rFonts w:cstheme="minorHAnsi"/>
        </w:rPr>
      </w:pPr>
      <w:r w:rsidRPr="004670E0">
        <w:rPr>
          <w:rFonts w:cstheme="minorHAnsi"/>
          <w:b/>
          <w:bCs/>
          <w:color w:val="181717"/>
        </w:rPr>
        <w:t xml:space="preserve">– </w:t>
      </w:r>
      <w:r w:rsidRPr="004670E0">
        <w:rPr>
          <w:rFonts w:cstheme="minorHAnsi"/>
          <w:color w:val="181717"/>
        </w:rPr>
        <w:t>Cash Flow</w:t>
      </w:r>
    </w:p>
    <w:p w14:paraId="17834FBF" w14:textId="77777777" w:rsidR="003A6534" w:rsidRPr="004670E0" w:rsidRDefault="003A6534" w:rsidP="003A6534">
      <w:pPr>
        <w:autoSpaceDE w:val="0"/>
        <w:autoSpaceDN w:val="0"/>
        <w:adjustRightInd w:val="0"/>
        <w:spacing w:after="0" w:line="240" w:lineRule="auto"/>
        <w:rPr>
          <w:rFonts w:cstheme="minorHAnsi"/>
          <w:color w:val="181717"/>
          <w:sz w:val="20"/>
          <w:szCs w:val="20"/>
        </w:rPr>
      </w:pPr>
      <w:r w:rsidRPr="004670E0">
        <w:rPr>
          <w:rFonts w:cstheme="minorHAnsi"/>
          <w:color w:val="181717"/>
          <w:sz w:val="20"/>
          <w:szCs w:val="20"/>
        </w:rPr>
        <w:t>* If the applicant’s accounts are not audited, unaudited accounts from their Accountant will be accepted.</w:t>
      </w:r>
    </w:p>
    <w:p w14:paraId="610B5F1A" w14:textId="77777777" w:rsidR="00C93486" w:rsidRPr="004670E0" w:rsidRDefault="00C93486" w:rsidP="00C93486">
      <w:pPr>
        <w:autoSpaceDE w:val="0"/>
        <w:autoSpaceDN w:val="0"/>
        <w:adjustRightInd w:val="0"/>
        <w:spacing w:after="0" w:line="240" w:lineRule="auto"/>
        <w:rPr>
          <w:rFonts w:cstheme="minorHAnsi"/>
          <w:color w:val="181717"/>
          <w:sz w:val="20"/>
          <w:szCs w:val="20"/>
        </w:rPr>
      </w:pPr>
      <w:r w:rsidRPr="004670E0">
        <w:rPr>
          <w:rFonts w:cstheme="minorHAnsi"/>
          <w:color w:val="181717"/>
          <w:sz w:val="20"/>
          <w:szCs w:val="20"/>
        </w:rPr>
        <w:t>** The cash flow projections should include project expenditure and project funding as separate items in cash outflow and inflow. The financial projections should cover the life of the project and should reflect the financial benefits expected to be generated from the project.</w:t>
      </w:r>
    </w:p>
    <w:p w14:paraId="23373A0A" w14:textId="77777777" w:rsidR="00C93486" w:rsidRPr="00B66319" w:rsidRDefault="00C93486" w:rsidP="00445F27">
      <w:pPr>
        <w:jc w:val="both"/>
        <w:rPr>
          <w:sz w:val="2"/>
          <w:szCs w:val="2"/>
        </w:rPr>
      </w:pPr>
    </w:p>
    <w:p w14:paraId="0CCD6BD1" w14:textId="32DFE5E6" w:rsidR="00DB0677" w:rsidRPr="003D23CD" w:rsidRDefault="006B547D" w:rsidP="0086078F">
      <w:pPr>
        <w:jc w:val="both"/>
      </w:pPr>
      <w:r>
        <w:t xml:space="preserve">It is an </w:t>
      </w:r>
      <w:r w:rsidR="00055C05">
        <w:t>a</w:t>
      </w:r>
      <w:r>
        <w:t xml:space="preserve">pplicant’s responsibility to ensure all requested documentation is supplied to the Department. Failure to do so may result in the application </w:t>
      </w:r>
      <w:r w:rsidR="00027583" w:rsidRPr="00027583">
        <w:t>not proceeding</w:t>
      </w:r>
      <w:r w:rsidR="00027583">
        <w:t>.</w:t>
      </w:r>
    </w:p>
    <w:p w14:paraId="1BF60BAD" w14:textId="77777777" w:rsidR="00AB1622" w:rsidRPr="006B547D" w:rsidRDefault="00AB1622" w:rsidP="00AB1622">
      <w:pPr>
        <w:pStyle w:val="Heading3"/>
        <w:numPr>
          <w:ilvl w:val="0"/>
          <w:numId w:val="12"/>
        </w:numPr>
        <w:rPr>
          <w:b/>
          <w:bCs/>
          <w:sz w:val="32"/>
          <w:szCs w:val="32"/>
        </w:rPr>
      </w:pPr>
      <w:bookmarkStart w:id="12" w:name="_Toc105166757"/>
      <w:r>
        <w:rPr>
          <w:b/>
          <w:bCs/>
          <w:sz w:val="32"/>
          <w:szCs w:val="32"/>
        </w:rPr>
        <w:t>A</w:t>
      </w:r>
      <w:r w:rsidRPr="006B547D">
        <w:rPr>
          <w:b/>
          <w:bCs/>
          <w:sz w:val="32"/>
          <w:szCs w:val="32"/>
        </w:rPr>
        <w:t>ssessment of applications</w:t>
      </w:r>
      <w:bookmarkEnd w:id="12"/>
    </w:p>
    <w:p w14:paraId="492AA458" w14:textId="77777777" w:rsidR="00AB1622" w:rsidRPr="00B66319" w:rsidRDefault="00AB1622" w:rsidP="00AB1622">
      <w:pPr>
        <w:rPr>
          <w:sz w:val="10"/>
          <w:szCs w:val="10"/>
        </w:rPr>
      </w:pPr>
    </w:p>
    <w:p w14:paraId="03EF9C2A" w14:textId="7CEC4A72" w:rsidR="00AB1622" w:rsidRDefault="00AB1622" w:rsidP="0086078F">
      <w:pPr>
        <w:jc w:val="both"/>
      </w:pPr>
      <w:r w:rsidRPr="00B6664D">
        <w:t xml:space="preserve">All applications will be </w:t>
      </w:r>
      <w:r w:rsidRPr="002D69E2">
        <w:t>assessed individually against</w:t>
      </w:r>
      <w:r w:rsidRPr="00B6664D">
        <w:t xml:space="preserve"> the eligibility criteria, key selection criteria and available funds through an open-round grant process. </w:t>
      </w:r>
    </w:p>
    <w:p w14:paraId="22DD2DCF" w14:textId="77777777" w:rsidR="00AB1622" w:rsidRDefault="00AB1622" w:rsidP="0086078F">
      <w:pPr>
        <w:jc w:val="both"/>
      </w:pPr>
      <w:r w:rsidRPr="00681BF7">
        <w:t>The Supply Chain Uplift Program Assessment Panel will review all eligible applications and provide recommendations</w:t>
      </w:r>
      <w:r>
        <w:t>.</w:t>
      </w:r>
    </w:p>
    <w:p w14:paraId="1A33242F" w14:textId="77777777" w:rsidR="00AB1622" w:rsidRDefault="00AB1622" w:rsidP="0086078F">
      <w:pPr>
        <w:jc w:val="both"/>
      </w:pPr>
      <w:r w:rsidRPr="00B6664D">
        <w:t xml:space="preserve">Applicants may be contacted by the Department to provide additional supporting </w:t>
      </w:r>
      <w:r w:rsidRPr="002D69E2">
        <w:t>documentation or further information.</w:t>
      </w:r>
    </w:p>
    <w:p w14:paraId="36FFEB94" w14:textId="10405EF4" w:rsidR="00AB1622" w:rsidRDefault="00AB1622" w:rsidP="0086078F">
      <w:pPr>
        <w:jc w:val="both"/>
      </w:pPr>
      <w:r w:rsidRPr="00B6664D">
        <w:t>There is no guarantee that an application will be supported for funding, or that the amount of funding requested will be offered.</w:t>
      </w:r>
    </w:p>
    <w:p w14:paraId="4F163A10" w14:textId="6153C9CC" w:rsidR="00D00BEA" w:rsidRDefault="00D00BEA" w:rsidP="00D00BEA">
      <w:pPr>
        <w:pStyle w:val="Heading5"/>
        <w:spacing w:after="240"/>
      </w:pPr>
      <w:r>
        <w:t>10.1</w:t>
      </w:r>
      <w:r w:rsidRPr="00A71871">
        <w:tab/>
        <w:t>Due Diligence Assessments</w:t>
      </w:r>
    </w:p>
    <w:p w14:paraId="22BE656F" w14:textId="77777777" w:rsidR="00D00BEA" w:rsidRPr="00387865" w:rsidRDefault="00D00BEA" w:rsidP="00D00BEA">
      <w:pPr>
        <w:jc w:val="both"/>
      </w:pPr>
      <w:r w:rsidRPr="00387865">
        <w:t xml:space="preserve">Applicants </w:t>
      </w:r>
      <w:r w:rsidRPr="00B06652">
        <w:t>may</w:t>
      </w:r>
      <w:r>
        <w:t xml:space="preserve"> </w:t>
      </w:r>
      <w:r w:rsidRPr="00387865">
        <w:t>be subject to due diligence assessments to enable the Department to assess financial and other non-financial risks. Outcomes from such assessments may be considered in any decision to recommend or award a grant and in contracting with successful applicants. Such checks may include:</w:t>
      </w:r>
    </w:p>
    <w:p w14:paraId="7D462332" w14:textId="77777777" w:rsidR="00D00BEA" w:rsidRPr="00A71871" w:rsidRDefault="00D00BEA" w:rsidP="00D00BEA">
      <w:pPr>
        <w:pStyle w:val="ListParagraph"/>
        <w:numPr>
          <w:ilvl w:val="0"/>
          <w:numId w:val="10"/>
        </w:numPr>
        <w:jc w:val="both"/>
      </w:pPr>
      <w:r>
        <w:t xml:space="preserve">any </w:t>
      </w:r>
      <w:r w:rsidRPr="00A71871">
        <w:t>potential for reputational risk to the State</w:t>
      </w:r>
    </w:p>
    <w:p w14:paraId="06C12722" w14:textId="77777777" w:rsidR="00D00BEA" w:rsidRDefault="00D00BEA" w:rsidP="00D00BEA">
      <w:pPr>
        <w:pStyle w:val="ListParagraph"/>
        <w:numPr>
          <w:ilvl w:val="0"/>
          <w:numId w:val="10"/>
        </w:numPr>
        <w:jc w:val="both"/>
      </w:pPr>
      <w:r w:rsidRPr="00A71871">
        <w:t>whether the applicant has failed to meet key contractual obligations for previous grant agreements with the State</w:t>
      </w:r>
    </w:p>
    <w:p w14:paraId="3B070178" w14:textId="77777777" w:rsidR="00D00BEA" w:rsidRDefault="00D00BEA" w:rsidP="00D00BEA">
      <w:pPr>
        <w:pStyle w:val="ListParagraph"/>
        <w:numPr>
          <w:ilvl w:val="0"/>
          <w:numId w:val="10"/>
        </w:numPr>
        <w:jc w:val="both"/>
      </w:pPr>
      <w:r w:rsidRPr="00CA4CE1">
        <w:t>business regulator</w:t>
      </w:r>
      <w:r>
        <w:t xml:space="preserve"> checks</w:t>
      </w:r>
    </w:p>
    <w:p w14:paraId="16D02253" w14:textId="77777777" w:rsidR="00D00BEA" w:rsidRDefault="00D00BEA" w:rsidP="00D00BEA">
      <w:pPr>
        <w:pStyle w:val="ListParagraph"/>
        <w:numPr>
          <w:ilvl w:val="0"/>
          <w:numId w:val="10"/>
        </w:numPr>
        <w:jc w:val="both"/>
      </w:pPr>
      <w:r>
        <w:t>financial risk assessments for grants of $50,001 or more.</w:t>
      </w:r>
    </w:p>
    <w:p w14:paraId="49C199CD" w14:textId="3B4FBB7E" w:rsidR="00D00BEA" w:rsidRPr="00A71871" w:rsidRDefault="00D00BEA" w:rsidP="00D00BEA">
      <w:r w:rsidRPr="00CA4CE1">
        <w:rPr>
          <w:rFonts w:asciiTheme="majorHAnsi" w:eastAsiaTheme="majorEastAsia" w:hAnsiTheme="majorHAnsi" w:cstheme="majorBidi"/>
          <w:color w:val="2F5496" w:themeColor="accent1" w:themeShade="BF"/>
        </w:rPr>
        <w:lastRenderedPageBreak/>
        <w:t xml:space="preserve"> </w:t>
      </w:r>
      <w:r>
        <w:rPr>
          <w:rFonts w:asciiTheme="majorHAnsi" w:eastAsiaTheme="majorEastAsia" w:hAnsiTheme="majorHAnsi" w:cstheme="majorBidi"/>
          <w:color w:val="2F5496" w:themeColor="accent1" w:themeShade="BF"/>
        </w:rPr>
        <w:t>10.2</w:t>
      </w:r>
      <w:r w:rsidRPr="00CA4CE1">
        <w:rPr>
          <w:rFonts w:asciiTheme="majorHAnsi" w:eastAsiaTheme="majorEastAsia" w:hAnsiTheme="majorHAnsi" w:cstheme="majorBidi"/>
          <w:color w:val="2F5496" w:themeColor="accent1" w:themeShade="BF"/>
        </w:rPr>
        <w:tab/>
        <w:t>Business regulator check</w:t>
      </w:r>
    </w:p>
    <w:p w14:paraId="23362A89" w14:textId="77777777" w:rsidR="00D00BEA" w:rsidRPr="00A71871" w:rsidRDefault="00D00BEA" w:rsidP="00D00BEA">
      <w:pPr>
        <w:jc w:val="both"/>
      </w:pPr>
      <w:r w:rsidRPr="00387865">
        <w:t>A business regulator check may be undertaken to verify business details provided with the Australian Business Register, Australian Securities and Investment Commission</w:t>
      </w:r>
      <w:r w:rsidRPr="00CC3121">
        <w:t xml:space="preserve"> </w:t>
      </w:r>
      <w:r w:rsidRPr="00387865">
        <w:t>and/or other applicable regulator. Any of the following circumstances may be taken into consideration in any decision whether to award a grant:</w:t>
      </w:r>
    </w:p>
    <w:p w14:paraId="700A942C" w14:textId="77777777" w:rsidR="00D00BEA" w:rsidRPr="00A71871" w:rsidRDefault="00D00BEA" w:rsidP="00D00BEA">
      <w:pPr>
        <w:pStyle w:val="ListParagraph"/>
        <w:numPr>
          <w:ilvl w:val="0"/>
          <w:numId w:val="10"/>
        </w:numPr>
        <w:jc w:val="both"/>
      </w:pPr>
      <w:r>
        <w:t>a</w:t>
      </w:r>
      <w:r w:rsidRPr="00A71871">
        <w:t>ny adverse findings by a regulator regarding an Applicant</w:t>
      </w:r>
    </w:p>
    <w:p w14:paraId="60E343FC" w14:textId="77777777" w:rsidR="00D00BEA" w:rsidRPr="00A71871" w:rsidRDefault="00D00BEA" w:rsidP="00D00BEA">
      <w:pPr>
        <w:pStyle w:val="ListParagraph"/>
        <w:numPr>
          <w:ilvl w:val="0"/>
          <w:numId w:val="10"/>
        </w:numPr>
        <w:jc w:val="both"/>
      </w:pPr>
      <w:r>
        <w:t>a</w:t>
      </w:r>
      <w:r w:rsidRPr="00A71871">
        <w:t>n Applicant is placed under external administration</w:t>
      </w:r>
    </w:p>
    <w:p w14:paraId="09B3F8E3" w14:textId="77777777" w:rsidR="00D00BEA" w:rsidRPr="00A71871" w:rsidRDefault="00D00BEA" w:rsidP="00D00BEA">
      <w:pPr>
        <w:pStyle w:val="ListParagraph"/>
        <w:numPr>
          <w:ilvl w:val="0"/>
          <w:numId w:val="10"/>
        </w:numPr>
        <w:jc w:val="both"/>
      </w:pPr>
      <w:r>
        <w:t>t</w:t>
      </w:r>
      <w:r w:rsidRPr="00A71871">
        <w:t>here is a petition to wind up or deregister the Applicant</w:t>
      </w:r>
    </w:p>
    <w:p w14:paraId="3371292E" w14:textId="5AC9B931" w:rsidR="00AD7187" w:rsidRDefault="00D00BEA" w:rsidP="009D7912">
      <w:pPr>
        <w:pStyle w:val="ListParagraph"/>
        <w:numPr>
          <w:ilvl w:val="0"/>
          <w:numId w:val="10"/>
        </w:numPr>
        <w:jc w:val="both"/>
      </w:pPr>
      <w:r>
        <w:t>t</w:t>
      </w:r>
      <w:r w:rsidRPr="00A71871">
        <w:t>he Applicant is or becomes deregistered or unregistered (including cancellation or lapse in registration</w:t>
      </w:r>
      <w:r>
        <w:t>.</w:t>
      </w:r>
    </w:p>
    <w:p w14:paraId="794CBC70" w14:textId="3F25F0B8" w:rsidR="00701154" w:rsidRDefault="00701154" w:rsidP="00AB1622">
      <w:pPr>
        <w:pStyle w:val="Heading3"/>
        <w:numPr>
          <w:ilvl w:val="0"/>
          <w:numId w:val="12"/>
        </w:numPr>
        <w:rPr>
          <w:b/>
          <w:bCs/>
          <w:sz w:val="32"/>
          <w:szCs w:val="32"/>
        </w:rPr>
      </w:pPr>
      <w:bookmarkStart w:id="13" w:name="_Toc105166758"/>
      <w:r w:rsidRPr="00701154">
        <w:rPr>
          <w:b/>
          <w:bCs/>
          <w:sz w:val="32"/>
          <w:szCs w:val="32"/>
        </w:rPr>
        <w:t>Assessment criteria</w:t>
      </w:r>
      <w:bookmarkEnd w:id="13"/>
    </w:p>
    <w:p w14:paraId="4313B5CB" w14:textId="77777777" w:rsidR="008952BD" w:rsidRPr="00FE1248" w:rsidRDefault="008952BD" w:rsidP="000E425D">
      <w:pPr>
        <w:rPr>
          <w:sz w:val="12"/>
          <w:szCs w:val="12"/>
        </w:rPr>
      </w:pPr>
    </w:p>
    <w:p w14:paraId="5320ED97" w14:textId="40EF9AD5" w:rsidR="000E425D" w:rsidRDefault="004B5966" w:rsidP="000E425D">
      <w:r w:rsidRPr="004B5966">
        <w:t>Applications will be assessed against the following Assessment Criteria:</w:t>
      </w:r>
    </w:p>
    <w:tbl>
      <w:tblPr>
        <w:tblStyle w:val="TableGrid"/>
        <w:tblW w:w="0" w:type="auto"/>
        <w:tblLook w:val="04A0" w:firstRow="1" w:lastRow="0" w:firstColumn="1" w:lastColumn="0" w:noHBand="0" w:noVBand="1"/>
      </w:tblPr>
      <w:tblGrid>
        <w:gridCol w:w="2263"/>
        <w:gridCol w:w="6753"/>
      </w:tblGrid>
      <w:tr w:rsidR="004439AB" w:rsidRPr="00D26A0A" w14:paraId="2AD73FA2" w14:textId="77777777" w:rsidTr="00B742C1">
        <w:tc>
          <w:tcPr>
            <w:tcW w:w="2263" w:type="dxa"/>
            <w:shd w:val="clear" w:color="auto" w:fill="0070C0"/>
          </w:tcPr>
          <w:p w14:paraId="31709B7A" w14:textId="77777777" w:rsidR="004439AB" w:rsidRPr="00D26A0A" w:rsidRDefault="004439AB" w:rsidP="00D973FA">
            <w:pPr>
              <w:rPr>
                <w:b/>
                <w:bCs/>
                <w:color w:val="FFFFFF" w:themeColor="background1"/>
              </w:rPr>
            </w:pPr>
            <w:r>
              <w:rPr>
                <w:b/>
                <w:bCs/>
                <w:color w:val="FFFFFF" w:themeColor="background1"/>
              </w:rPr>
              <w:t>Project Activity</w:t>
            </w:r>
          </w:p>
        </w:tc>
        <w:tc>
          <w:tcPr>
            <w:tcW w:w="6753" w:type="dxa"/>
            <w:shd w:val="clear" w:color="auto" w:fill="0070C0"/>
          </w:tcPr>
          <w:p w14:paraId="480960E6" w14:textId="77777777" w:rsidR="004439AB" w:rsidRPr="00D26A0A" w:rsidRDefault="004439AB" w:rsidP="00D973FA">
            <w:pPr>
              <w:rPr>
                <w:b/>
                <w:bCs/>
                <w:color w:val="FFFFFF" w:themeColor="background1"/>
              </w:rPr>
            </w:pPr>
            <w:r w:rsidRPr="00A451E8">
              <w:rPr>
                <w:b/>
                <w:bCs/>
                <w:color w:val="FFFFFF" w:themeColor="background1"/>
              </w:rPr>
              <w:t>Description and Examples</w:t>
            </w:r>
          </w:p>
        </w:tc>
      </w:tr>
      <w:tr w:rsidR="004439AB" w14:paraId="4661A606" w14:textId="77777777" w:rsidTr="00B742C1">
        <w:trPr>
          <w:trHeight w:val="2652"/>
        </w:trPr>
        <w:tc>
          <w:tcPr>
            <w:tcW w:w="2263" w:type="dxa"/>
          </w:tcPr>
          <w:p w14:paraId="03DF7D68" w14:textId="52A5D5CA" w:rsidR="004439AB" w:rsidRDefault="00A860E0" w:rsidP="00381D45">
            <w:pPr>
              <w:pStyle w:val="ListParagraph"/>
              <w:numPr>
                <w:ilvl w:val="0"/>
                <w:numId w:val="11"/>
              </w:numPr>
            </w:pPr>
            <w:r w:rsidRPr="00A860E0">
              <w:t xml:space="preserve">How the project will help the applicant to </w:t>
            </w:r>
            <w:r w:rsidR="000F21BF">
              <w:t>enter</w:t>
            </w:r>
            <w:r w:rsidR="004E0C5B">
              <w:t xml:space="preserve"> Hanwha’s supply chain</w:t>
            </w:r>
          </w:p>
        </w:tc>
        <w:tc>
          <w:tcPr>
            <w:tcW w:w="6753" w:type="dxa"/>
          </w:tcPr>
          <w:p w14:paraId="45D05D15" w14:textId="5F60978A" w:rsidR="00551956" w:rsidRDefault="00551956" w:rsidP="00551956">
            <w:r>
              <w:t xml:space="preserve">This criterion assesses the extent to which the proposed project will </w:t>
            </w:r>
            <w:r w:rsidR="00377CFD">
              <w:t xml:space="preserve">meet the </w:t>
            </w:r>
            <w:r w:rsidR="00AF096C">
              <w:t>program o</w:t>
            </w:r>
            <w:r w:rsidR="00377CFD">
              <w:t xml:space="preserve">bjectives </w:t>
            </w:r>
            <w:r w:rsidR="00B15827">
              <w:t>and provides value for money.</w:t>
            </w:r>
          </w:p>
          <w:p w14:paraId="57C5785E" w14:textId="7DF269EE" w:rsidR="00551956" w:rsidRDefault="00DC5FD6" w:rsidP="00F31DA9">
            <w:pPr>
              <w:pStyle w:val="ListParagraph"/>
              <w:numPr>
                <w:ilvl w:val="0"/>
                <w:numId w:val="8"/>
              </w:numPr>
            </w:pPr>
            <w:r>
              <w:t>Assessed on:</w:t>
            </w:r>
          </w:p>
          <w:p w14:paraId="4BDE22EB" w14:textId="77777777" w:rsidR="009B46B8" w:rsidRDefault="006A16B9" w:rsidP="00A13265">
            <w:pPr>
              <w:pStyle w:val="ListParagraph"/>
              <w:numPr>
                <w:ilvl w:val="1"/>
                <w:numId w:val="8"/>
              </w:numPr>
            </w:pPr>
            <w:r>
              <w:t xml:space="preserve">The extent to which </w:t>
            </w:r>
            <w:r w:rsidR="00993D82">
              <w:t>the proposed project will directly support engagement with Hanwha’s domestic and/or global supply chain</w:t>
            </w:r>
          </w:p>
          <w:p w14:paraId="5EBAFBFB" w14:textId="0EF2BA5C" w:rsidR="004439AB" w:rsidRDefault="00993D82" w:rsidP="009B46B8">
            <w:pPr>
              <w:pStyle w:val="ListParagraph"/>
              <w:numPr>
                <w:ilvl w:val="1"/>
                <w:numId w:val="8"/>
              </w:numPr>
            </w:pPr>
            <w:r>
              <w:t xml:space="preserve">The extent to which the proposed project could potentially lead to new defence </w:t>
            </w:r>
            <w:r w:rsidR="004B10DC">
              <w:t>opportunities and/or contracts</w:t>
            </w:r>
            <w:r w:rsidR="00003F92">
              <w:t>.</w:t>
            </w:r>
          </w:p>
        </w:tc>
      </w:tr>
      <w:tr w:rsidR="004439AB" w14:paraId="3B2EA5E6" w14:textId="77777777" w:rsidTr="00B742C1">
        <w:tc>
          <w:tcPr>
            <w:tcW w:w="2263" w:type="dxa"/>
          </w:tcPr>
          <w:p w14:paraId="2C8C5596" w14:textId="01D6F773" w:rsidR="004439AB" w:rsidRDefault="00467EA9" w:rsidP="00E93EC8">
            <w:pPr>
              <w:pStyle w:val="ListParagraph"/>
              <w:numPr>
                <w:ilvl w:val="0"/>
                <w:numId w:val="11"/>
              </w:numPr>
            </w:pPr>
            <w:r>
              <w:t xml:space="preserve">How the project will improve outcomes for Victoria </w:t>
            </w:r>
          </w:p>
        </w:tc>
        <w:tc>
          <w:tcPr>
            <w:tcW w:w="6753" w:type="dxa"/>
          </w:tcPr>
          <w:p w14:paraId="5592F7D4" w14:textId="73E1A28D" w:rsidR="002D078B" w:rsidRDefault="002D078B" w:rsidP="002D078B">
            <w:r>
              <w:t xml:space="preserve">This criterion assesses </w:t>
            </w:r>
            <w:r w:rsidR="00CC31F1">
              <w:t xml:space="preserve">the extent to which the project could meet the </w:t>
            </w:r>
            <w:r w:rsidR="005530DB">
              <w:t>Program O</w:t>
            </w:r>
            <w:r w:rsidR="00CC31F1">
              <w:t xml:space="preserve">utcomes. </w:t>
            </w:r>
          </w:p>
          <w:p w14:paraId="253F143E" w14:textId="66321379" w:rsidR="00CC31F1" w:rsidRDefault="00C20D72" w:rsidP="00CC31F1">
            <w:pPr>
              <w:pStyle w:val="ListParagraph"/>
              <w:numPr>
                <w:ilvl w:val="0"/>
                <w:numId w:val="21"/>
              </w:numPr>
            </w:pPr>
            <w:r>
              <w:t>Considerations include</w:t>
            </w:r>
            <w:r w:rsidR="00CC31F1">
              <w:t>:</w:t>
            </w:r>
          </w:p>
          <w:p w14:paraId="62044FD1" w14:textId="4020A8B3" w:rsidR="00CC31F1" w:rsidRDefault="00EB48D0" w:rsidP="00EE13E8">
            <w:pPr>
              <w:pStyle w:val="ListParagraph"/>
              <w:numPr>
                <w:ilvl w:val="1"/>
                <w:numId w:val="21"/>
              </w:numPr>
            </w:pPr>
            <w:r>
              <w:t xml:space="preserve">The </w:t>
            </w:r>
            <w:r w:rsidR="008C3192">
              <w:t xml:space="preserve">potential </w:t>
            </w:r>
            <w:r>
              <w:t xml:space="preserve">value of the </w:t>
            </w:r>
            <w:r w:rsidR="006326F9">
              <w:t xml:space="preserve">contract with Hanwha </w:t>
            </w:r>
          </w:p>
          <w:p w14:paraId="48DABDAA" w14:textId="1E123FCF" w:rsidR="00233E31" w:rsidRDefault="00233E31">
            <w:pPr>
              <w:pStyle w:val="ListParagraph"/>
              <w:numPr>
                <w:ilvl w:val="1"/>
                <w:numId w:val="21"/>
              </w:numPr>
            </w:pPr>
            <w:r>
              <w:t xml:space="preserve">The potential of the project to </w:t>
            </w:r>
            <w:r w:rsidR="00F56080">
              <w:t>attract</w:t>
            </w:r>
            <w:r w:rsidR="00183AEB">
              <w:t xml:space="preserve"> </w:t>
            </w:r>
            <w:r w:rsidR="000205D4">
              <w:t>additional</w:t>
            </w:r>
            <w:r w:rsidR="00183AEB">
              <w:t xml:space="preserve"> business </w:t>
            </w:r>
            <w:r w:rsidR="0055643E">
              <w:t xml:space="preserve">with and beyond </w:t>
            </w:r>
            <w:r w:rsidR="00443F36">
              <w:t>Hanwha’s supply chain</w:t>
            </w:r>
          </w:p>
          <w:p w14:paraId="2672E0DC" w14:textId="2DF5C6DC" w:rsidR="006326F9" w:rsidRDefault="001034B0">
            <w:pPr>
              <w:pStyle w:val="ListParagraph"/>
              <w:numPr>
                <w:ilvl w:val="1"/>
                <w:numId w:val="21"/>
              </w:numPr>
            </w:pPr>
            <w:r>
              <w:t xml:space="preserve">The potential of the project to </w:t>
            </w:r>
            <w:r w:rsidR="00FC45AC">
              <w:t xml:space="preserve">result in the development or attraction of new capabilities </w:t>
            </w:r>
            <w:r w:rsidR="007D3C22">
              <w:t xml:space="preserve">or </w:t>
            </w:r>
            <w:r w:rsidR="00B15811">
              <w:t xml:space="preserve">the transfer of </w:t>
            </w:r>
            <w:r w:rsidR="007D3C22">
              <w:t xml:space="preserve">intellectual property </w:t>
            </w:r>
            <w:r w:rsidR="00FC45AC">
              <w:t xml:space="preserve">to the </w:t>
            </w:r>
            <w:r w:rsidR="00B64036">
              <w:t>S</w:t>
            </w:r>
            <w:r w:rsidR="00FC45AC">
              <w:t>tate</w:t>
            </w:r>
          </w:p>
          <w:p w14:paraId="48005018" w14:textId="77777777" w:rsidR="00FC45AC" w:rsidRDefault="009D698F" w:rsidP="00DC2D90">
            <w:pPr>
              <w:pStyle w:val="ListParagraph"/>
              <w:numPr>
                <w:ilvl w:val="1"/>
                <w:numId w:val="21"/>
              </w:numPr>
            </w:pPr>
            <w:r>
              <w:t xml:space="preserve">The potential of the project to </w:t>
            </w:r>
            <w:r w:rsidR="007441B6">
              <w:t xml:space="preserve">lead to </w:t>
            </w:r>
            <w:r w:rsidR="007D3C22">
              <w:t>the development of new partnerships with overseas manufacturers</w:t>
            </w:r>
          </w:p>
          <w:p w14:paraId="0C0D5189" w14:textId="3615C46F" w:rsidR="00211F88" w:rsidRDefault="00B15811" w:rsidP="00DC2D90">
            <w:pPr>
              <w:pStyle w:val="ListParagraph"/>
              <w:numPr>
                <w:ilvl w:val="1"/>
                <w:numId w:val="21"/>
              </w:numPr>
            </w:pPr>
            <w:r>
              <w:t>The p</w:t>
            </w:r>
            <w:r w:rsidR="00211F88">
              <w:t>otential number of new jobs generated in Victoria as a result of the project</w:t>
            </w:r>
          </w:p>
          <w:p w14:paraId="75FDA492" w14:textId="0EA83AC8" w:rsidR="00211F88" w:rsidRDefault="00B15811" w:rsidP="00DC2D90">
            <w:pPr>
              <w:pStyle w:val="ListParagraph"/>
              <w:numPr>
                <w:ilvl w:val="1"/>
                <w:numId w:val="21"/>
              </w:numPr>
            </w:pPr>
            <w:r>
              <w:t>The p</w:t>
            </w:r>
            <w:r w:rsidR="00211F88">
              <w:t xml:space="preserve">otential number of existing employees transitioned into higher value, higher skilled roles </w:t>
            </w:r>
          </w:p>
          <w:p w14:paraId="2A97716D" w14:textId="0A0B0B0B" w:rsidR="00E3506A" w:rsidRDefault="00B15811" w:rsidP="00DC2D90">
            <w:pPr>
              <w:pStyle w:val="ListParagraph"/>
              <w:numPr>
                <w:ilvl w:val="1"/>
                <w:numId w:val="21"/>
              </w:numPr>
            </w:pPr>
            <w:r>
              <w:t>The p</w:t>
            </w:r>
            <w:r w:rsidR="008820E3">
              <w:t xml:space="preserve">otential for the </w:t>
            </w:r>
            <w:r w:rsidR="00E71225">
              <w:t xml:space="preserve">project to enable collaboration with Hanwha’s global and South Korean supply chain </w:t>
            </w:r>
            <w:r w:rsidR="000A3853">
              <w:t xml:space="preserve">on defence R&amp;D </w:t>
            </w:r>
          </w:p>
          <w:p w14:paraId="6FBEADDD" w14:textId="0048D003" w:rsidR="0053326D" w:rsidRDefault="0053326D" w:rsidP="00DC2D90">
            <w:pPr>
              <w:pStyle w:val="ListParagraph"/>
              <w:numPr>
                <w:ilvl w:val="1"/>
                <w:numId w:val="21"/>
              </w:numPr>
            </w:pPr>
            <w:r>
              <w:t>The potential of the project to result in</w:t>
            </w:r>
            <w:r w:rsidR="00A574A1">
              <w:t xml:space="preserve"> Victorian</w:t>
            </w:r>
            <w:r>
              <w:t xml:space="preserve"> </w:t>
            </w:r>
            <w:r w:rsidR="0080117C">
              <w:t>export opportunities</w:t>
            </w:r>
          </w:p>
          <w:p w14:paraId="6B5F1ED4" w14:textId="2000390C" w:rsidR="004439AB" w:rsidRDefault="00DE4EE2" w:rsidP="00DC2D90">
            <w:pPr>
              <w:pStyle w:val="ListParagraph"/>
              <w:numPr>
                <w:ilvl w:val="1"/>
                <w:numId w:val="21"/>
              </w:numPr>
            </w:pPr>
            <w:r>
              <w:lastRenderedPageBreak/>
              <w:t>W</w:t>
            </w:r>
            <w:r w:rsidR="00211F88">
              <w:t xml:space="preserve">hether the project will take place in areas of socio-economic </w:t>
            </w:r>
            <w:r w:rsidR="00DC2D90">
              <w:t>disadvantage or</w:t>
            </w:r>
            <w:r w:rsidR="00211F88">
              <w:t xml:space="preserve"> has the potential to employ disadvantaged workers</w:t>
            </w:r>
            <w:r>
              <w:t>.</w:t>
            </w:r>
          </w:p>
        </w:tc>
      </w:tr>
      <w:tr w:rsidR="004439AB" w14:paraId="24B5E439" w14:textId="77777777" w:rsidTr="00B742C1">
        <w:tc>
          <w:tcPr>
            <w:tcW w:w="2263" w:type="dxa"/>
          </w:tcPr>
          <w:p w14:paraId="079F3E34" w14:textId="33CE4617" w:rsidR="004439AB" w:rsidRDefault="00474105" w:rsidP="00BC0031">
            <w:pPr>
              <w:pStyle w:val="ListParagraph"/>
              <w:numPr>
                <w:ilvl w:val="0"/>
                <w:numId w:val="11"/>
              </w:numPr>
            </w:pPr>
            <w:r w:rsidRPr="00474105">
              <w:lastRenderedPageBreak/>
              <w:t xml:space="preserve">Ability to </w:t>
            </w:r>
            <w:r w:rsidR="001C6057">
              <w:t>deliver</w:t>
            </w:r>
            <w:r w:rsidRPr="00474105">
              <w:t xml:space="preserve"> the project</w:t>
            </w:r>
          </w:p>
        </w:tc>
        <w:tc>
          <w:tcPr>
            <w:tcW w:w="6753" w:type="dxa"/>
          </w:tcPr>
          <w:p w14:paraId="2A5C4041" w14:textId="23C8EFE9" w:rsidR="001D3C83" w:rsidRDefault="001D3C83" w:rsidP="00591C78">
            <w:r>
              <w:t>This criterion assesses the organisation and its capacity to deliver the outcomes associated with the project.</w:t>
            </w:r>
          </w:p>
          <w:p w14:paraId="7442895C" w14:textId="77777777" w:rsidR="001D3C83" w:rsidRDefault="001D3C83" w:rsidP="001D3C83">
            <w:pPr>
              <w:pStyle w:val="ListParagraph"/>
              <w:numPr>
                <w:ilvl w:val="0"/>
                <w:numId w:val="8"/>
              </w:numPr>
            </w:pPr>
            <w:r>
              <w:t>Assessed on:</w:t>
            </w:r>
          </w:p>
          <w:p w14:paraId="7730E504" w14:textId="646FB5CB" w:rsidR="001D3C83" w:rsidRPr="0028047F" w:rsidRDefault="001D3C83" w:rsidP="001D3C83">
            <w:pPr>
              <w:pStyle w:val="ListParagraph"/>
              <w:numPr>
                <w:ilvl w:val="1"/>
                <w:numId w:val="8"/>
              </w:numPr>
            </w:pPr>
            <w:r w:rsidRPr="0028047F">
              <w:t>The applicant organisation’s previous experience in delivering comparable projects</w:t>
            </w:r>
          </w:p>
          <w:p w14:paraId="0A4174FB" w14:textId="14193732" w:rsidR="001C6057" w:rsidRDefault="001D3C83" w:rsidP="001D3C83">
            <w:pPr>
              <w:pStyle w:val="ListParagraph"/>
              <w:numPr>
                <w:ilvl w:val="1"/>
                <w:numId w:val="8"/>
              </w:numPr>
            </w:pPr>
            <w:r>
              <w:t>The applicant organisation’s capacity to lead and deliver the necessary expertise and workforce for the project</w:t>
            </w:r>
          </w:p>
          <w:p w14:paraId="537C137F" w14:textId="17346F69" w:rsidR="00045DA2" w:rsidRDefault="00045DA2" w:rsidP="001D3C83">
            <w:pPr>
              <w:pStyle w:val="ListParagraph"/>
              <w:numPr>
                <w:ilvl w:val="1"/>
                <w:numId w:val="8"/>
              </w:numPr>
            </w:pPr>
            <w:r>
              <w:t>Evidence that the project team (</w:t>
            </w:r>
            <w:r w:rsidR="008952BD">
              <w:t>i.e.,</w:t>
            </w:r>
            <w:r>
              <w:t xml:space="preserve"> business, consultant) has the capability to undertake the project.</w:t>
            </w:r>
          </w:p>
          <w:p w14:paraId="48D8154C" w14:textId="71EEA775" w:rsidR="004439AB" w:rsidRDefault="008952BD" w:rsidP="00045DA2">
            <w:pPr>
              <w:pStyle w:val="ListParagraph"/>
              <w:numPr>
                <w:ilvl w:val="0"/>
                <w:numId w:val="8"/>
              </w:numPr>
            </w:pPr>
            <w:r>
              <w:t>i.e.,</w:t>
            </w:r>
            <w:r w:rsidR="00BC0031">
              <w:t xml:space="preserve"> the applicant can meet cash co-contribution requirements and has the capacity to meet any additional activity costs that exceed the funding offered by the Department</w:t>
            </w:r>
          </w:p>
        </w:tc>
      </w:tr>
      <w:tr w:rsidR="00474105" w14:paraId="3A3F7E22" w14:textId="77777777" w:rsidTr="00B742C1">
        <w:tc>
          <w:tcPr>
            <w:tcW w:w="2263" w:type="dxa"/>
          </w:tcPr>
          <w:p w14:paraId="75E393FA" w14:textId="1087398B" w:rsidR="00474105" w:rsidRPr="00474105" w:rsidRDefault="00A2572A" w:rsidP="00A2572A">
            <w:pPr>
              <w:pStyle w:val="ListParagraph"/>
              <w:numPr>
                <w:ilvl w:val="0"/>
                <w:numId w:val="11"/>
              </w:numPr>
            </w:pPr>
            <w:r w:rsidRPr="00A2572A">
              <w:t>Need for government support</w:t>
            </w:r>
          </w:p>
        </w:tc>
        <w:tc>
          <w:tcPr>
            <w:tcW w:w="6753" w:type="dxa"/>
          </w:tcPr>
          <w:p w14:paraId="5C7B54E7" w14:textId="2201AE06" w:rsidR="00591C78" w:rsidRDefault="00591C78" w:rsidP="00591C78">
            <w:pPr>
              <w:pStyle w:val="Normalnospace"/>
              <w:spacing w:line="252" w:lineRule="auto"/>
              <w:rPr>
                <w:rFonts w:ascii="Calibri" w:hAnsi="Calibri"/>
                <w:sz w:val="22"/>
                <w:szCs w:val="22"/>
                <w:lang w:eastAsia="en-US"/>
              </w:rPr>
            </w:pPr>
            <w:r>
              <w:rPr>
                <w:rFonts w:ascii="Calibri" w:hAnsi="Calibri"/>
                <w:sz w:val="22"/>
                <w:szCs w:val="22"/>
                <w:lang w:eastAsia="en-US"/>
              </w:rPr>
              <w:t>This criterion assesses whether there is a strong argument for government support</w:t>
            </w:r>
            <w:r w:rsidR="008B038F">
              <w:rPr>
                <w:rFonts w:ascii="Calibri" w:hAnsi="Calibri"/>
                <w:sz w:val="22"/>
                <w:szCs w:val="22"/>
                <w:lang w:eastAsia="en-US"/>
              </w:rPr>
              <w:t>.</w:t>
            </w:r>
            <w:r>
              <w:rPr>
                <w:rFonts w:ascii="Calibri" w:hAnsi="Calibri"/>
                <w:sz w:val="22"/>
                <w:szCs w:val="22"/>
                <w:lang w:eastAsia="en-US"/>
              </w:rPr>
              <w:t xml:space="preserve"> Assessed on:</w:t>
            </w:r>
          </w:p>
          <w:p w14:paraId="5D1ED0D2" w14:textId="104FEE10" w:rsidR="00591C78" w:rsidRPr="00942E3F" w:rsidRDefault="00591C78" w:rsidP="00942E3F">
            <w:pPr>
              <w:pStyle w:val="ListParagraph"/>
              <w:numPr>
                <w:ilvl w:val="1"/>
                <w:numId w:val="8"/>
              </w:numPr>
            </w:pPr>
            <w:r w:rsidRPr="00942E3F">
              <w:t>Demonstrated need for government assistance for the project to proceed</w:t>
            </w:r>
          </w:p>
          <w:p w14:paraId="3EF7EC38" w14:textId="77777777" w:rsidR="006A3F62" w:rsidRDefault="008B038F" w:rsidP="00E2692B">
            <w:pPr>
              <w:pStyle w:val="ListParagraph"/>
              <w:numPr>
                <w:ilvl w:val="1"/>
                <w:numId w:val="8"/>
              </w:numPr>
            </w:pPr>
            <w:r w:rsidRPr="00942E3F">
              <w:t>Size of the company. Preference will be given to SMEs seeking to access the program. Companies with more than 200 employees can apply and will be assessed on a case-by-case basis</w:t>
            </w:r>
          </w:p>
          <w:p w14:paraId="36B0DDF3" w14:textId="05F0B996" w:rsidR="00474105" w:rsidRPr="00925258" w:rsidRDefault="00591C78" w:rsidP="00E2692B">
            <w:pPr>
              <w:pStyle w:val="ListParagraph"/>
              <w:numPr>
                <w:ilvl w:val="1"/>
                <w:numId w:val="8"/>
              </w:numPr>
            </w:pPr>
            <w:r w:rsidRPr="00942E3F">
              <w:t xml:space="preserve">The potential of the </w:t>
            </w:r>
            <w:r w:rsidR="003C5613" w:rsidRPr="00942E3F">
              <w:t xml:space="preserve">grant to </w:t>
            </w:r>
            <w:r w:rsidR="00F273D9" w:rsidRPr="00942E3F">
              <w:t>impact</w:t>
            </w:r>
            <w:r w:rsidR="003C5613" w:rsidRPr="00942E3F">
              <w:t xml:space="preserve"> </w:t>
            </w:r>
            <w:r w:rsidR="00C33025" w:rsidRPr="00942E3F">
              <w:t xml:space="preserve">positively on the </w:t>
            </w:r>
            <w:r w:rsidR="009012DB" w:rsidRPr="00942E3F">
              <w:t>quality, scale</w:t>
            </w:r>
            <w:r w:rsidR="00C33025" w:rsidRPr="00942E3F">
              <w:t xml:space="preserve"> or timing of the project</w:t>
            </w:r>
          </w:p>
        </w:tc>
      </w:tr>
    </w:tbl>
    <w:p w14:paraId="2078B6AB" w14:textId="77777777" w:rsidR="000E425D" w:rsidRPr="00761DBC" w:rsidRDefault="000E425D" w:rsidP="000E425D">
      <w:pPr>
        <w:rPr>
          <w:sz w:val="10"/>
          <w:szCs w:val="10"/>
        </w:rPr>
      </w:pPr>
    </w:p>
    <w:p w14:paraId="4A6E7FEE" w14:textId="25488E3A" w:rsidR="000E425D" w:rsidRPr="00BF386F" w:rsidRDefault="00BF386F" w:rsidP="00AB1622">
      <w:pPr>
        <w:pStyle w:val="Heading3"/>
        <w:numPr>
          <w:ilvl w:val="0"/>
          <w:numId w:val="12"/>
        </w:numPr>
        <w:rPr>
          <w:b/>
          <w:bCs/>
          <w:sz w:val="32"/>
          <w:szCs w:val="32"/>
        </w:rPr>
      </w:pPr>
      <w:bookmarkStart w:id="14" w:name="_Toc105166759"/>
      <w:r w:rsidRPr="00BF386F">
        <w:rPr>
          <w:b/>
          <w:bCs/>
          <w:sz w:val="32"/>
          <w:szCs w:val="32"/>
        </w:rPr>
        <w:t>Grant agreements</w:t>
      </w:r>
      <w:bookmarkEnd w:id="14"/>
    </w:p>
    <w:p w14:paraId="0C2EB551" w14:textId="77777777" w:rsidR="000E425D" w:rsidRPr="00B742C1" w:rsidRDefault="000E425D" w:rsidP="000E425D">
      <w:pPr>
        <w:rPr>
          <w:sz w:val="8"/>
          <w:szCs w:val="8"/>
        </w:rPr>
      </w:pPr>
    </w:p>
    <w:p w14:paraId="4BA6D214" w14:textId="0563F5BF" w:rsidR="00F36F7A" w:rsidRDefault="00F36F7A" w:rsidP="0086078F">
      <w:pPr>
        <w:jc w:val="both"/>
      </w:pPr>
      <w:r>
        <w:t>Subject to acceptance of an offer by an Applicant, a legally binding Grant Agreement will be prepared reflecting the project, proposed outcomes, milestones and conditions of payment.</w:t>
      </w:r>
    </w:p>
    <w:p w14:paraId="76EE8E75" w14:textId="627CB2F5" w:rsidR="000E425D" w:rsidRDefault="00F36F7A" w:rsidP="0086078F">
      <w:pPr>
        <w:jc w:val="both"/>
      </w:pPr>
      <w:r>
        <w:t>An Applicant will have 14 days to accept the offer in writing and 14 days from the date of acceptance to execute the Grant Agreement with the State of Victoria. The Department may withdraw the offer if the Grant Agreement is not executed within the 14</w:t>
      </w:r>
      <w:r w:rsidR="00016234">
        <w:t>-</w:t>
      </w:r>
      <w:r>
        <w:t>day timeframe.</w:t>
      </w:r>
    </w:p>
    <w:p w14:paraId="6DF37B4F" w14:textId="6D810BD6" w:rsidR="28A85FC8" w:rsidRDefault="28A85FC8" w:rsidP="28A85FC8">
      <w:pPr>
        <w:jc w:val="both"/>
      </w:pPr>
      <w:r>
        <w:t xml:space="preserve">An Applicant will have 14 days to accept the offer in writing and 14 days from the date of acceptance to execute the Grant Agreement with the State of Victoria.  </w:t>
      </w:r>
    </w:p>
    <w:p w14:paraId="4B068314" w14:textId="1F127A04" w:rsidR="00A827E8" w:rsidRDefault="00A827E8" w:rsidP="00A827E8">
      <w:r>
        <w:t>All recipients of grants must:</w:t>
      </w:r>
    </w:p>
    <w:p w14:paraId="53DF6D08" w14:textId="558A73CA" w:rsidR="00A827E8" w:rsidRDefault="00A827E8" w:rsidP="00A827E8">
      <w:pPr>
        <w:pStyle w:val="ListParagraph"/>
        <w:numPr>
          <w:ilvl w:val="0"/>
          <w:numId w:val="10"/>
        </w:numPr>
      </w:pPr>
      <w:r>
        <w:t>comply with performance monitoring requirements</w:t>
      </w:r>
      <w:r w:rsidR="001708A8">
        <w:t xml:space="preserve"> under the grant agreement</w:t>
      </w:r>
      <w:r>
        <w:t>, including written reports and face to face meetings</w:t>
      </w:r>
    </w:p>
    <w:p w14:paraId="3D66B2C9" w14:textId="71646361" w:rsidR="00A827E8" w:rsidRDefault="00A827E8" w:rsidP="00A827E8">
      <w:pPr>
        <w:pStyle w:val="ListParagraph"/>
        <w:numPr>
          <w:ilvl w:val="0"/>
          <w:numId w:val="10"/>
        </w:numPr>
      </w:pPr>
      <w:r>
        <w:t xml:space="preserve">participate in formal evaluations of </w:t>
      </w:r>
      <w:r w:rsidR="001E72FE">
        <w:t>the Program</w:t>
      </w:r>
      <w:r>
        <w:t xml:space="preserve"> by the Department including the submission of a post-completion report 12 months after completion of the project.</w:t>
      </w:r>
    </w:p>
    <w:p w14:paraId="38DC1AE3" w14:textId="4662A5BA" w:rsidR="000E425D" w:rsidRDefault="00AE3891" w:rsidP="00AE3891">
      <w:pPr>
        <w:pStyle w:val="Heading5"/>
        <w:spacing w:after="240"/>
      </w:pPr>
      <w:r>
        <w:lastRenderedPageBreak/>
        <w:t xml:space="preserve">12.1 </w:t>
      </w:r>
      <w:r>
        <w:tab/>
        <w:t xml:space="preserve">Publicity </w:t>
      </w:r>
    </w:p>
    <w:p w14:paraId="0926D5FF" w14:textId="77777777" w:rsidR="00AE3891" w:rsidRPr="00896CA7" w:rsidRDefault="00AE3891" w:rsidP="00AE3891">
      <w:pPr>
        <w:pStyle w:val="Normalnospace"/>
        <w:jc w:val="both"/>
        <w:rPr>
          <w:rFonts w:asciiTheme="minorHAnsi" w:hAnsiTheme="minorHAnsi" w:cstheme="minorBidi"/>
          <w:sz w:val="22"/>
          <w:szCs w:val="22"/>
          <w:lang w:eastAsia="en-US"/>
        </w:rPr>
      </w:pPr>
      <w:r w:rsidRPr="00896CA7">
        <w:rPr>
          <w:rFonts w:asciiTheme="minorHAnsi" w:hAnsiTheme="minorHAnsi" w:cstheme="minorBidi"/>
          <w:sz w:val="22"/>
          <w:szCs w:val="22"/>
          <w:lang w:eastAsia="en-US"/>
        </w:rPr>
        <w:t>Successful applicants must agree to cooperate with the Department in the promotion of the program. This may include involvement in media releases, case studies or promotional events and activities.</w:t>
      </w:r>
    </w:p>
    <w:p w14:paraId="31EC5920" w14:textId="77777777" w:rsidR="00AE3891" w:rsidRPr="00896CA7" w:rsidRDefault="00AE3891" w:rsidP="00AE3891">
      <w:pPr>
        <w:pStyle w:val="Normalnospace"/>
        <w:jc w:val="both"/>
        <w:rPr>
          <w:rFonts w:asciiTheme="minorHAnsi" w:hAnsiTheme="minorHAnsi" w:cstheme="minorBidi"/>
          <w:sz w:val="22"/>
          <w:szCs w:val="22"/>
          <w:lang w:eastAsia="en-US"/>
        </w:rPr>
      </w:pPr>
      <w:r w:rsidRPr="00896CA7">
        <w:rPr>
          <w:rFonts w:asciiTheme="minorHAnsi" w:hAnsiTheme="minorHAnsi" w:cstheme="minorBidi"/>
          <w:sz w:val="22"/>
          <w:szCs w:val="22"/>
          <w:lang w:eastAsia="en-US"/>
        </w:rPr>
        <w:t>Successful applicants must not make any public announcement or issue any press release regarding the receipt of a grant without prior written approval from the Department.</w:t>
      </w:r>
    </w:p>
    <w:p w14:paraId="5323F106" w14:textId="77777777" w:rsidR="00AE3891" w:rsidRPr="00896CA7" w:rsidRDefault="00AE3891" w:rsidP="00AE3891">
      <w:pPr>
        <w:pStyle w:val="Normalnospace"/>
        <w:jc w:val="both"/>
        <w:rPr>
          <w:rFonts w:asciiTheme="minorHAnsi" w:hAnsiTheme="minorHAnsi" w:cstheme="minorBidi"/>
          <w:sz w:val="22"/>
          <w:szCs w:val="22"/>
          <w:lang w:eastAsia="en-US"/>
        </w:rPr>
      </w:pPr>
      <w:r w:rsidRPr="00896CA7">
        <w:rPr>
          <w:rFonts w:asciiTheme="minorHAnsi" w:hAnsiTheme="minorHAnsi" w:cstheme="minorBidi"/>
          <w:sz w:val="22"/>
          <w:szCs w:val="22"/>
          <w:lang w:eastAsia="en-US"/>
        </w:rPr>
        <w:t>The Department may publicise the benefits accruing to the successful applicant and/or the State associated with the provision of the grant and the State’s support for the Project. The Department may include the name of the successful applicant and/or grant amount in any publicity material and in the Department’s annual report.</w:t>
      </w:r>
    </w:p>
    <w:p w14:paraId="181EF116" w14:textId="26915D91" w:rsidR="00AE3891" w:rsidRPr="00896CA7" w:rsidRDefault="00AE3891" w:rsidP="00AE3891">
      <w:pPr>
        <w:pStyle w:val="Normalnospace"/>
        <w:jc w:val="both"/>
        <w:rPr>
          <w:rFonts w:asciiTheme="minorHAnsi" w:hAnsiTheme="minorHAnsi" w:cstheme="minorBidi"/>
          <w:sz w:val="22"/>
          <w:szCs w:val="22"/>
          <w:lang w:eastAsia="en-US"/>
        </w:rPr>
      </w:pPr>
      <w:r w:rsidRPr="00896CA7">
        <w:rPr>
          <w:rFonts w:asciiTheme="minorHAnsi" w:hAnsiTheme="minorHAnsi" w:cstheme="minorBidi"/>
          <w:sz w:val="22"/>
          <w:szCs w:val="22"/>
          <w:lang w:eastAsia="en-US"/>
        </w:rPr>
        <w:t>The Department may request successful applicant fact checks any text and seek approval to use any owned imagery associated with the activity prior to the publication</w:t>
      </w:r>
      <w:r w:rsidR="00791B65">
        <w:rPr>
          <w:rFonts w:asciiTheme="minorHAnsi" w:hAnsiTheme="minorHAnsi" w:cstheme="minorBidi"/>
          <w:sz w:val="22"/>
          <w:szCs w:val="22"/>
          <w:lang w:eastAsia="en-US"/>
        </w:rPr>
        <w:t xml:space="preserve"> by the Departme</w:t>
      </w:r>
      <w:r w:rsidR="004E20A9">
        <w:rPr>
          <w:rFonts w:asciiTheme="minorHAnsi" w:hAnsiTheme="minorHAnsi" w:cstheme="minorBidi"/>
          <w:sz w:val="22"/>
          <w:szCs w:val="22"/>
          <w:lang w:eastAsia="en-US"/>
        </w:rPr>
        <w:t>nt</w:t>
      </w:r>
      <w:r w:rsidRPr="00896CA7">
        <w:rPr>
          <w:rFonts w:asciiTheme="minorHAnsi" w:hAnsiTheme="minorHAnsi" w:cstheme="minorBidi"/>
          <w:sz w:val="22"/>
          <w:szCs w:val="22"/>
          <w:lang w:eastAsia="en-US"/>
        </w:rPr>
        <w:t xml:space="preserve"> of any such promotional materials.</w:t>
      </w:r>
    </w:p>
    <w:p w14:paraId="76139E5F" w14:textId="77777777" w:rsidR="00AE3891" w:rsidRPr="00896CA7" w:rsidRDefault="00AE3891" w:rsidP="00AE3891">
      <w:pPr>
        <w:pStyle w:val="Normalnospace"/>
        <w:jc w:val="both"/>
        <w:rPr>
          <w:rFonts w:asciiTheme="minorHAnsi" w:hAnsiTheme="minorHAnsi" w:cstheme="minorBidi"/>
          <w:sz w:val="22"/>
          <w:szCs w:val="22"/>
          <w:lang w:eastAsia="en-US"/>
        </w:rPr>
      </w:pPr>
      <w:r w:rsidRPr="00896CA7">
        <w:rPr>
          <w:rFonts w:asciiTheme="minorHAnsi" w:hAnsiTheme="minorHAnsi" w:cstheme="minorBidi"/>
          <w:sz w:val="22"/>
          <w:szCs w:val="22"/>
          <w:lang w:eastAsia="en-US"/>
        </w:rPr>
        <w:t>If requested by the Department, the successful applicant must ensure that the State’s support for the grant is acknowledged on all promotional materials and appropriate signage consistent with the Guidelines for Victorian Government Advertising and Communications or as otherwise specified by the Department.</w:t>
      </w:r>
    </w:p>
    <w:p w14:paraId="69AFAA5B" w14:textId="6B8126FB" w:rsidR="00AE3891" w:rsidRPr="00D5111D" w:rsidRDefault="00AE3891" w:rsidP="00AE3891">
      <w:pPr>
        <w:pStyle w:val="Normalnospace"/>
        <w:jc w:val="both"/>
      </w:pPr>
      <w:r w:rsidRPr="00D5111D">
        <w:rPr>
          <w:rFonts w:asciiTheme="minorHAnsi" w:hAnsiTheme="minorHAnsi" w:cstheme="minorBidi"/>
          <w:sz w:val="22"/>
          <w:szCs w:val="22"/>
          <w:lang w:eastAsia="en-US"/>
        </w:rPr>
        <w:t xml:space="preserve">Applicants must agree to cooperate with the Department in the preparation of materials used to promote the benefits of </w:t>
      </w:r>
      <w:r w:rsidR="001E72FE">
        <w:rPr>
          <w:rFonts w:asciiTheme="minorHAnsi" w:hAnsiTheme="minorHAnsi" w:cstheme="minorBidi"/>
          <w:sz w:val="22"/>
          <w:szCs w:val="22"/>
          <w:lang w:eastAsia="en-US"/>
        </w:rPr>
        <w:t>the Program</w:t>
      </w:r>
      <w:r w:rsidRPr="00D5111D">
        <w:rPr>
          <w:rFonts w:asciiTheme="minorHAnsi" w:hAnsiTheme="minorHAnsi" w:cstheme="minorBidi"/>
          <w:sz w:val="22"/>
          <w:szCs w:val="22"/>
          <w:lang w:eastAsia="en-US"/>
        </w:rPr>
        <w:t xml:space="preserve"> to industry, such as a media release or case study.</w:t>
      </w:r>
    </w:p>
    <w:p w14:paraId="13274B0A" w14:textId="77777777" w:rsidR="00AE3891" w:rsidRPr="00D5111D" w:rsidRDefault="00AE3891" w:rsidP="00AE3891">
      <w:pPr>
        <w:pStyle w:val="Normalnospace"/>
        <w:jc w:val="both"/>
      </w:pPr>
      <w:r w:rsidRPr="00D5111D">
        <w:rPr>
          <w:rFonts w:asciiTheme="minorHAnsi" w:hAnsiTheme="minorHAnsi" w:cstheme="minorBidi"/>
          <w:sz w:val="22"/>
          <w:szCs w:val="22"/>
          <w:lang w:eastAsia="en-US"/>
        </w:rPr>
        <w:t>The Department will request grant recipients to fact check any text and seek approval to use any grant recipient owned imagery associated with the project prior to the publication of any such promotional materials.</w:t>
      </w:r>
    </w:p>
    <w:p w14:paraId="65767A46" w14:textId="77777777" w:rsidR="00AE3891" w:rsidRPr="00D5111D" w:rsidRDefault="00AE3891" w:rsidP="00AE3891">
      <w:pPr>
        <w:pStyle w:val="Normalnospace"/>
        <w:jc w:val="both"/>
      </w:pPr>
      <w:r w:rsidRPr="00D5111D">
        <w:rPr>
          <w:rFonts w:asciiTheme="minorHAnsi" w:hAnsiTheme="minorHAnsi" w:cstheme="minorBidi"/>
          <w:sz w:val="22"/>
          <w:szCs w:val="22"/>
          <w:lang w:eastAsia="en-US"/>
        </w:rPr>
        <w:t>Grant recipients are not to publicly announce being awarded a grant until the Minister has officially done so, unless prior written approval has been provided by the Department.</w:t>
      </w:r>
    </w:p>
    <w:p w14:paraId="004F253B" w14:textId="77777777" w:rsidR="00AE3891" w:rsidRPr="00C05757" w:rsidRDefault="00AE3891" w:rsidP="00AE3891">
      <w:pPr>
        <w:rPr>
          <w:sz w:val="2"/>
          <w:szCs w:val="2"/>
        </w:rPr>
      </w:pPr>
    </w:p>
    <w:p w14:paraId="1C9F4CDA" w14:textId="404C4D4A" w:rsidR="008934C0" w:rsidRDefault="70341B45" w:rsidP="008934C0">
      <w:pPr>
        <w:pStyle w:val="Heading3"/>
        <w:numPr>
          <w:ilvl w:val="0"/>
          <w:numId w:val="12"/>
        </w:numPr>
        <w:rPr>
          <w:b/>
          <w:bCs/>
          <w:sz w:val="32"/>
          <w:szCs w:val="32"/>
        </w:rPr>
      </w:pPr>
      <w:bookmarkStart w:id="15" w:name="_Toc105166760"/>
      <w:r w:rsidRPr="00DC2D90">
        <w:rPr>
          <w:b/>
          <w:bCs/>
          <w:sz w:val="32"/>
          <w:szCs w:val="32"/>
        </w:rPr>
        <w:t>Terms of Applying</w:t>
      </w:r>
      <w:bookmarkEnd w:id="15"/>
    </w:p>
    <w:p w14:paraId="6CE05C0E" w14:textId="77777777" w:rsidR="00B742C1" w:rsidRPr="00B742C1" w:rsidRDefault="00B742C1" w:rsidP="00B742C1">
      <w:pPr>
        <w:rPr>
          <w:sz w:val="8"/>
          <w:szCs w:val="8"/>
        </w:rPr>
      </w:pPr>
    </w:p>
    <w:p w14:paraId="6909F0D4" w14:textId="2B253EC7" w:rsidR="78673379" w:rsidRPr="00DC2D90" w:rsidRDefault="70341B45" w:rsidP="002B6F0B">
      <w:pPr>
        <w:pStyle w:val="Heading5"/>
        <w:spacing w:after="240"/>
      </w:pPr>
      <w:r w:rsidRPr="00DC2D90">
        <w:t>13.1      Absolute discretion</w:t>
      </w:r>
    </w:p>
    <w:p w14:paraId="3240657C" w14:textId="2B253EC7" w:rsidR="78673379" w:rsidRPr="00DC2D90" w:rsidRDefault="70341B45" w:rsidP="004673E0">
      <w:pPr>
        <w:jc w:val="both"/>
      </w:pPr>
      <w:r w:rsidRPr="00DC2D90">
        <w:t>The Department’s and Minister’s decisions on all matters in recommending and awarding grant funding under this Program is at the Department’s absolute discretion. This includes for recommending for approval a lesser amount than that applied for and amending funding conditions without notice.</w:t>
      </w:r>
    </w:p>
    <w:p w14:paraId="1E0BDB3B" w14:textId="2B253EC7" w:rsidR="78673379" w:rsidRPr="00DC2D90" w:rsidRDefault="70341B45" w:rsidP="004673E0">
      <w:pPr>
        <w:jc w:val="both"/>
      </w:pPr>
      <w:r w:rsidRPr="00DC2D90">
        <w:t>The Department reserves the right to request the applicant provide further information should it be deemed necessary.</w:t>
      </w:r>
    </w:p>
    <w:p w14:paraId="7E8413B0" w14:textId="7C151084" w:rsidR="78673379" w:rsidRDefault="70341B45" w:rsidP="004673E0">
      <w:pPr>
        <w:jc w:val="both"/>
      </w:pPr>
      <w:r w:rsidRPr="00DC2D90">
        <w:t>The Department reserves the right to amend these guidelines and the application terms at any time as it deems appropriate.</w:t>
      </w:r>
    </w:p>
    <w:p w14:paraId="2EC5A9F6" w14:textId="77777777" w:rsidR="00F41884" w:rsidRPr="0044121D" w:rsidRDefault="00F41884" w:rsidP="004673E0">
      <w:pPr>
        <w:spacing w:before="100" w:beforeAutospacing="1" w:after="100" w:afterAutospacing="1" w:line="240" w:lineRule="auto"/>
        <w:jc w:val="both"/>
      </w:pPr>
      <w:r w:rsidRPr="0044121D">
        <w:t>As the Victorian State election will be held on Saturday 26 November 2022, the Victorian Government will assume a caretaker role from 6.00pm on 1 November 2022 until such time that either it becomes clear that the incumbent government will be returned, or when a new government is commissioned.</w:t>
      </w:r>
    </w:p>
    <w:p w14:paraId="0B1077B2" w14:textId="77777777" w:rsidR="00C05757" w:rsidRDefault="00F41884" w:rsidP="004673E0">
      <w:pPr>
        <w:spacing w:before="100" w:beforeAutospacing="1" w:after="100" w:afterAutospacing="1" w:line="240" w:lineRule="auto"/>
        <w:jc w:val="both"/>
      </w:pPr>
      <w:r w:rsidRPr="0044121D">
        <w:lastRenderedPageBreak/>
        <w:t>In line with the caretaker conventions,</w:t>
      </w:r>
      <w:r>
        <w:t xml:space="preserve"> and depending on the timing of the awarding of relevant grants</w:t>
      </w:r>
      <w:r w:rsidR="00B72315">
        <w:t>,</w:t>
      </w:r>
      <w:r w:rsidRPr="0044121D">
        <w:t xml:space="preserve"> the incoming government </w:t>
      </w:r>
      <w:r>
        <w:t>may</w:t>
      </w:r>
      <w:r w:rsidRPr="0044121D">
        <w:t xml:space="preserve"> determine whether to proceed with </w:t>
      </w:r>
      <w:r>
        <w:t>this program</w:t>
      </w:r>
      <w:r w:rsidRPr="0044121D">
        <w:t xml:space="preserve"> an</w:t>
      </w:r>
      <w:r w:rsidR="003B7551">
        <w:t>d</w:t>
      </w:r>
      <w:r w:rsidR="00B72315">
        <w:t xml:space="preserve"> relevant</w:t>
      </w:r>
      <w:r w:rsidR="003B7551">
        <w:t xml:space="preserve"> grants</w:t>
      </w:r>
      <w:r w:rsidRPr="0044121D">
        <w:t xml:space="preserve"> after the caretaker period.</w:t>
      </w:r>
      <w:r w:rsidR="00C05757">
        <w:t xml:space="preserve"> </w:t>
      </w:r>
    </w:p>
    <w:p w14:paraId="1C0B4601" w14:textId="7434077F" w:rsidR="00F41884" w:rsidRPr="0044121D" w:rsidRDefault="00F41884" w:rsidP="004673E0">
      <w:pPr>
        <w:spacing w:before="100" w:beforeAutospacing="1" w:after="100" w:afterAutospacing="1" w:line="240" w:lineRule="auto"/>
        <w:jc w:val="both"/>
      </w:pPr>
      <w:r w:rsidRPr="0044121D">
        <w:t>Applicants should be aware that:</w:t>
      </w:r>
    </w:p>
    <w:p w14:paraId="77895E04" w14:textId="6BB81686" w:rsidR="00F41884" w:rsidRPr="0044121D" w:rsidRDefault="00F41884" w:rsidP="004673E0">
      <w:pPr>
        <w:numPr>
          <w:ilvl w:val="0"/>
          <w:numId w:val="32"/>
        </w:numPr>
        <w:spacing w:before="100" w:beforeAutospacing="1" w:after="100" w:afterAutospacing="1" w:line="240" w:lineRule="auto"/>
        <w:jc w:val="both"/>
      </w:pPr>
      <w:r w:rsidRPr="0044121D">
        <w:t>all information about this grant pro</w:t>
      </w:r>
      <w:r w:rsidR="000A3C12">
        <w:t>gram</w:t>
      </w:r>
      <w:r w:rsidRPr="0044121D">
        <w:t xml:space="preserve"> represents the position of the current government only, and is</w:t>
      </w:r>
      <w:r w:rsidR="006922E7">
        <w:t>, depending on the progress of the program and relevant grants,</w:t>
      </w:r>
      <w:r w:rsidR="00F03737">
        <w:t xml:space="preserve"> potentially</w:t>
      </w:r>
      <w:r w:rsidRPr="0044121D">
        <w:t xml:space="preserve"> subject to change; and</w:t>
      </w:r>
    </w:p>
    <w:p w14:paraId="6BE8AE7F" w14:textId="68AE8689" w:rsidR="00F41884" w:rsidRPr="0044121D" w:rsidRDefault="00F41884" w:rsidP="004673E0">
      <w:pPr>
        <w:numPr>
          <w:ilvl w:val="0"/>
          <w:numId w:val="32"/>
        </w:numPr>
        <w:spacing w:before="100" w:beforeAutospacing="1" w:after="100" w:afterAutospacing="1" w:line="240" w:lineRule="auto"/>
        <w:jc w:val="both"/>
      </w:pPr>
      <w:r w:rsidRPr="0044121D">
        <w:t>the incoming government may decide to not proceed with this grant pro</w:t>
      </w:r>
      <w:r w:rsidR="00F5047B">
        <w:t>gram</w:t>
      </w:r>
      <w:r w:rsidRPr="0044121D">
        <w:t>.</w:t>
      </w:r>
    </w:p>
    <w:p w14:paraId="5AEDC875" w14:textId="19A809DD" w:rsidR="78673379" w:rsidRPr="00DC2D90" w:rsidRDefault="70341B45" w:rsidP="002B6F0B">
      <w:pPr>
        <w:pStyle w:val="Heading5"/>
        <w:spacing w:after="240"/>
      </w:pPr>
      <w:r w:rsidRPr="00DC2D90">
        <w:t>13.</w:t>
      </w:r>
      <w:r w:rsidR="004673E0">
        <w:t>2</w:t>
      </w:r>
      <w:r w:rsidRPr="00DC2D90">
        <w:t xml:space="preserve">      Disrepute</w:t>
      </w:r>
    </w:p>
    <w:p w14:paraId="3B421EBF" w14:textId="11CC9227" w:rsidR="006C60E3" w:rsidRPr="00C05757" w:rsidRDefault="70341B45" w:rsidP="00761DBC">
      <w:pPr>
        <w:spacing w:line="257" w:lineRule="auto"/>
        <w:jc w:val="both"/>
      </w:pPr>
      <w:r w:rsidRPr="00DC2D90">
        <w:t>The Department may at any time, remove an applicant from the application and assessment process, if in the Department’s opinion association with the applicant may bring the Department, a Minister or the State of Victoria in disrepute.</w:t>
      </w:r>
    </w:p>
    <w:p w14:paraId="62A8AD94" w14:textId="57AA0A35" w:rsidR="00E8627A" w:rsidRDefault="006F3CFF" w:rsidP="00AB1622">
      <w:pPr>
        <w:pStyle w:val="Heading3"/>
        <w:numPr>
          <w:ilvl w:val="0"/>
          <w:numId w:val="12"/>
        </w:numPr>
        <w:rPr>
          <w:b/>
          <w:bCs/>
          <w:sz w:val="32"/>
          <w:szCs w:val="32"/>
        </w:rPr>
      </w:pPr>
      <w:bookmarkStart w:id="16" w:name="_Toc105166761"/>
      <w:r>
        <w:rPr>
          <w:b/>
          <w:bCs/>
          <w:sz w:val="32"/>
          <w:szCs w:val="32"/>
        </w:rPr>
        <w:t xml:space="preserve">Privacy and </w:t>
      </w:r>
      <w:r w:rsidR="00E61277" w:rsidRPr="00E61277">
        <w:rPr>
          <w:b/>
          <w:bCs/>
          <w:sz w:val="32"/>
          <w:szCs w:val="32"/>
        </w:rPr>
        <w:t>Confidentiality</w:t>
      </w:r>
      <w:bookmarkEnd w:id="16"/>
    </w:p>
    <w:p w14:paraId="2B99FC8E" w14:textId="77777777" w:rsidR="00AA29A6" w:rsidRPr="00761DBC" w:rsidRDefault="00AA29A6" w:rsidP="00AA29A6">
      <w:pPr>
        <w:rPr>
          <w:sz w:val="12"/>
          <w:szCs w:val="12"/>
        </w:rPr>
      </w:pPr>
    </w:p>
    <w:p w14:paraId="13352B20" w14:textId="77777777" w:rsidR="007D5431" w:rsidRDefault="007D5431" w:rsidP="00365F61">
      <w:pPr>
        <w:jc w:val="both"/>
      </w:pPr>
      <w:r>
        <w:t xml:space="preserve">The Department will, to the extent permitted by law, treat all information provided by Applicants as strictly confidential and commercial-in- confidence where relevant. Information provided by the Applicant for the purpose of this application will be used by the Department for the purposes of assessing the application, program administration and program review. In making an application, the Applicant consents to the provision of their information to other Victorian Government Departments and agencies for the purpose of assessing applications. If there is an intention to include personal information about third parties in the application, please ensure they are aware of and consent to the contents of this privacy statement. </w:t>
      </w:r>
    </w:p>
    <w:p w14:paraId="79C42DAF" w14:textId="77777777" w:rsidR="007D5431" w:rsidRDefault="007D5431" w:rsidP="00365F61">
      <w:pPr>
        <w:jc w:val="both"/>
      </w:pPr>
      <w:r>
        <w:t xml:space="preserve">Any personal information about the Applicant or a third party will be collected, held, managed, used, disclosed or transferred in accordance with the provisions of the Privacy and Data Protection Act 2014 (Vic) and other applicable laws. </w:t>
      </w:r>
    </w:p>
    <w:p w14:paraId="3B2F281C" w14:textId="7999007B" w:rsidR="00BF472F" w:rsidRDefault="007D5431" w:rsidP="00365F61">
      <w:pPr>
        <w:jc w:val="both"/>
      </w:pPr>
      <w:r>
        <w:t>The Department is committed to protecting the privacy of personal information.</w:t>
      </w:r>
      <w:r w:rsidR="00B62749" w:rsidRPr="00B62749">
        <w:t xml:space="preserve"> Requests for access, or correction should be sent to </w:t>
      </w:r>
      <w:r w:rsidR="00B62749">
        <w:t>defence</w:t>
      </w:r>
      <w:r w:rsidR="00B62749" w:rsidRPr="00B62749">
        <w:t>@ecodev.vic.gov.au or for other concerns regarding the privacy of your personal information you can email DJPR Privacy privacy@ecodev.vic.gov.au</w:t>
      </w:r>
      <w:r w:rsidR="00B62749">
        <w:t>.</w:t>
      </w:r>
      <w:r w:rsidR="00B62749" w:rsidRPr="00B62749">
        <w:t xml:space="preserve"> A copy of our privacy statement is located at </w:t>
      </w:r>
      <w:hyperlink r:id="rId15" w:history="1">
        <w:r w:rsidR="00BF472F" w:rsidRPr="000B7CCA">
          <w:rPr>
            <w:rStyle w:val="Hyperlink"/>
          </w:rPr>
          <w:t>www.djpr.vic.gov.au/privacy</w:t>
        </w:r>
      </w:hyperlink>
      <w:r w:rsidR="00B62749" w:rsidRPr="00B62749">
        <w:t>.</w:t>
      </w:r>
    </w:p>
    <w:p w14:paraId="380D11F0" w14:textId="442E3E94" w:rsidR="007E785D" w:rsidRDefault="00784F69" w:rsidP="00AB1622">
      <w:pPr>
        <w:pStyle w:val="Heading3"/>
        <w:numPr>
          <w:ilvl w:val="0"/>
          <w:numId w:val="12"/>
        </w:numPr>
        <w:rPr>
          <w:b/>
          <w:bCs/>
          <w:sz w:val="32"/>
          <w:szCs w:val="32"/>
        </w:rPr>
      </w:pPr>
      <w:bookmarkStart w:id="17" w:name="_Toc105166762"/>
      <w:r w:rsidRPr="00784F69">
        <w:rPr>
          <w:b/>
          <w:bCs/>
          <w:sz w:val="32"/>
          <w:szCs w:val="32"/>
        </w:rPr>
        <w:t>Contacts and Further Information</w:t>
      </w:r>
      <w:bookmarkEnd w:id="17"/>
    </w:p>
    <w:p w14:paraId="52CD890E" w14:textId="77777777" w:rsidR="00D23417" w:rsidRPr="006C60E3" w:rsidRDefault="00D23417" w:rsidP="00D23417">
      <w:pPr>
        <w:rPr>
          <w:sz w:val="10"/>
          <w:szCs w:val="10"/>
        </w:rPr>
      </w:pPr>
    </w:p>
    <w:p w14:paraId="7DF2EBD6" w14:textId="48968D20" w:rsidR="00D23417" w:rsidRDefault="00D23417" w:rsidP="00365F61">
      <w:pPr>
        <w:jc w:val="both"/>
      </w:pPr>
      <w:r>
        <w:t>Applicants are encouraged to discuss their project with a representative from the Victorian Defence, Aviation and Aerospace Branch</w:t>
      </w:r>
      <w:r w:rsidR="007A793C">
        <w:t>.</w:t>
      </w:r>
    </w:p>
    <w:p w14:paraId="6B4E62EE" w14:textId="5D790709" w:rsidR="00D23417" w:rsidRDefault="00D23417" w:rsidP="00365F61">
      <w:pPr>
        <w:jc w:val="both"/>
      </w:pPr>
      <w:r>
        <w:t xml:space="preserve">For more information, please contact </w:t>
      </w:r>
      <w:r w:rsidR="007A793C">
        <w:t xml:space="preserve">Defence </w:t>
      </w:r>
      <w:r>
        <w:t xml:space="preserve">Victoria on </w:t>
      </w:r>
      <w:r w:rsidR="00E272E4">
        <w:t>03</w:t>
      </w:r>
      <w:r w:rsidR="00E272E4" w:rsidRPr="00E272E4">
        <w:t xml:space="preserve"> 9651 8053</w:t>
      </w:r>
      <w:r w:rsidR="00823193">
        <w:t xml:space="preserve"> </w:t>
      </w:r>
      <w:r>
        <w:t xml:space="preserve">or </w:t>
      </w:r>
      <w:r w:rsidR="00823193">
        <w:t xml:space="preserve">email </w:t>
      </w:r>
      <w:hyperlink r:id="rId16" w:history="1">
        <w:r w:rsidR="003500CD" w:rsidRPr="00803862">
          <w:rPr>
            <w:rStyle w:val="Hyperlink"/>
          </w:rPr>
          <w:t>defence@ecodev.vic.gov.au</w:t>
        </w:r>
      </w:hyperlink>
      <w:r w:rsidR="003500CD">
        <w:t xml:space="preserve"> </w:t>
      </w:r>
      <w:r w:rsidR="00823193">
        <w:t xml:space="preserve"> </w:t>
      </w:r>
    </w:p>
    <w:p w14:paraId="2177209B" w14:textId="39363DC5" w:rsidR="00D23417" w:rsidRPr="00D23417" w:rsidRDefault="00D23417" w:rsidP="00365F61">
      <w:pPr>
        <w:jc w:val="both"/>
      </w:pPr>
      <w:r>
        <w:t>Please note that engagement with the Department or any Victorian Government representative does not constitute endorsement of any application for assistance.</w:t>
      </w:r>
    </w:p>
    <w:sectPr w:rsidR="00D23417" w:rsidRPr="00D23417" w:rsidSect="00B96C69">
      <w:headerReference w:type="default" r:id="rId17"/>
      <w:footerReference w:type="default" r:id="rId18"/>
      <w:pgSz w:w="11906" w:h="16838"/>
      <w:pgMar w:top="2977" w:right="1440" w:bottom="709"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C730" w14:textId="77777777" w:rsidR="005A69C4" w:rsidRDefault="005A69C4" w:rsidP="00B87E05">
      <w:pPr>
        <w:spacing w:after="0" w:line="240" w:lineRule="auto"/>
      </w:pPr>
      <w:r>
        <w:separator/>
      </w:r>
    </w:p>
  </w:endnote>
  <w:endnote w:type="continuationSeparator" w:id="0">
    <w:p w14:paraId="75E8EF95" w14:textId="77777777" w:rsidR="005A69C4" w:rsidRDefault="005A69C4" w:rsidP="00B87E05">
      <w:pPr>
        <w:spacing w:after="0" w:line="240" w:lineRule="auto"/>
      </w:pPr>
      <w:r>
        <w:continuationSeparator/>
      </w:r>
    </w:p>
  </w:endnote>
  <w:endnote w:type="continuationNotice" w:id="1">
    <w:p w14:paraId="1164C926" w14:textId="77777777" w:rsidR="005A69C4" w:rsidRDefault="005A6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SemiBold">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8451" w14:textId="1F32D564" w:rsidR="00AF1F06" w:rsidRDefault="00AF1F06">
    <w:pPr>
      <w:pStyle w:val="Footer"/>
      <w:jc w:val="right"/>
    </w:pPr>
    <w:r>
      <w:rPr>
        <w:noProof/>
      </w:rPr>
      <mc:AlternateContent>
        <mc:Choice Requires="wps">
          <w:drawing>
            <wp:anchor distT="0" distB="0" distL="114300" distR="114300" simplePos="0" relativeHeight="251667456" behindDoc="0" locked="0" layoutInCell="0" allowOverlap="1" wp14:anchorId="7C312B40" wp14:editId="5A15EB63">
              <wp:simplePos x="0" y="0"/>
              <wp:positionH relativeFrom="page">
                <wp:posOffset>0</wp:posOffset>
              </wp:positionH>
              <wp:positionV relativeFrom="page">
                <wp:posOffset>10227945</wp:posOffset>
              </wp:positionV>
              <wp:extent cx="7560310" cy="273050"/>
              <wp:effectExtent l="0" t="0" r="0" b="12700"/>
              <wp:wrapNone/>
              <wp:docPr id="3" name="MSIPCM07a44d708ca2b73056a3a57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8CD819" w14:textId="50D2E3E5" w:rsidR="00AF1F06" w:rsidRPr="00AF1F06" w:rsidRDefault="00AF1F06" w:rsidP="00AF1F06">
                          <w:pPr>
                            <w:spacing w:after="0"/>
                            <w:jc w:val="center"/>
                            <w:rPr>
                              <w:rFonts w:ascii="Calibri" w:hAnsi="Calibri" w:cs="Calibri"/>
                              <w:color w:val="000000"/>
                              <w:sz w:val="24"/>
                            </w:rPr>
                          </w:pPr>
                          <w:r w:rsidRPr="00AF1F0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312B40" id="_x0000_t202" coordsize="21600,21600" o:spt="202" path="m,l,21600r21600,l21600,xe">
              <v:stroke joinstyle="miter"/>
              <v:path gradientshapeok="t" o:connecttype="rect"/>
            </v:shapetype>
            <v:shape id="MSIPCM07a44d708ca2b73056a3a57b"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308CD819" w14:textId="50D2E3E5" w:rsidR="00AF1F06" w:rsidRPr="00AF1F06" w:rsidRDefault="00AF1F06" w:rsidP="00AF1F06">
                    <w:pPr>
                      <w:spacing w:after="0"/>
                      <w:jc w:val="center"/>
                      <w:rPr>
                        <w:rFonts w:ascii="Calibri" w:hAnsi="Calibri" w:cs="Calibri"/>
                        <w:color w:val="000000"/>
                        <w:sz w:val="24"/>
                      </w:rPr>
                    </w:pPr>
                    <w:r w:rsidRPr="00AF1F06">
                      <w:rPr>
                        <w:rFonts w:ascii="Calibri" w:hAnsi="Calibri" w:cs="Calibri"/>
                        <w:color w:val="000000"/>
                        <w:sz w:val="24"/>
                      </w:rPr>
                      <w:t>OFFICIAL</w:t>
                    </w:r>
                  </w:p>
                </w:txbxContent>
              </v:textbox>
              <w10:wrap anchorx="page" anchory="page"/>
            </v:shape>
          </w:pict>
        </mc:Fallback>
      </mc:AlternateContent>
    </w:r>
    <w:sdt>
      <w:sdtPr>
        <w:id w:val="4805845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F79762" w14:textId="22222FC6" w:rsidR="00F353D5" w:rsidRDefault="00F3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B63F" w14:textId="77777777" w:rsidR="005A69C4" w:rsidRDefault="005A69C4" w:rsidP="00B87E05">
      <w:pPr>
        <w:spacing w:after="0" w:line="240" w:lineRule="auto"/>
      </w:pPr>
      <w:r>
        <w:separator/>
      </w:r>
    </w:p>
  </w:footnote>
  <w:footnote w:type="continuationSeparator" w:id="0">
    <w:p w14:paraId="10208186" w14:textId="77777777" w:rsidR="005A69C4" w:rsidRDefault="005A69C4" w:rsidP="00B87E05">
      <w:pPr>
        <w:spacing w:after="0" w:line="240" w:lineRule="auto"/>
      </w:pPr>
      <w:r>
        <w:continuationSeparator/>
      </w:r>
    </w:p>
  </w:footnote>
  <w:footnote w:type="continuationNotice" w:id="1">
    <w:p w14:paraId="3AA48A42" w14:textId="77777777" w:rsidR="005A69C4" w:rsidRDefault="005A6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AF9E" w14:textId="1A00414F" w:rsidR="00F353D5" w:rsidRDefault="00C20F96">
    <w:pPr>
      <w:pStyle w:val="Header"/>
    </w:pPr>
    <w:r w:rsidRPr="00C20F96">
      <w:rPr>
        <w:color w:val="FFFFFF" w:themeColor="background1"/>
      </w:rPr>
      <w:t>ddddd</w:t>
    </w:r>
    <w:r>
      <w:t>S</w:t>
    </w:r>
    <w:r w:rsidR="002002A8" w:rsidRPr="002002A8">
      <w:rPr>
        <w:noProof/>
      </w:rPr>
      <w:drawing>
        <wp:inline distT="0" distB="0" distL="0" distR="0" wp14:anchorId="4F258AE7" wp14:editId="57C5E439">
          <wp:extent cx="5731510" cy="704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4215"/>
                  </a:xfrm>
                  <a:prstGeom prst="rect">
                    <a:avLst/>
                  </a:prstGeom>
                  <a:noFill/>
                  <a:ln>
                    <a:noFill/>
                  </a:ln>
                </pic:spPr>
              </pic:pic>
            </a:graphicData>
          </a:graphic>
        </wp:inline>
      </w:drawing>
    </w:r>
    <w:r w:rsidR="002002A8" w:rsidRPr="002002A8">
      <w:t xml:space="preserve"> </w:t>
    </w:r>
    <w:r w:rsidR="001B01F3">
      <w:rPr>
        <w:noProof/>
        <w:lang w:val="en-GB" w:eastAsia="en-GB"/>
      </w:rPr>
      <w:drawing>
        <wp:anchor distT="0" distB="0" distL="114300" distR="114300" simplePos="0" relativeHeight="251654144" behindDoc="0" locked="0" layoutInCell="0" allowOverlap="1" wp14:anchorId="630DE88F" wp14:editId="72992FF3">
          <wp:simplePos x="0" y="0"/>
          <wp:positionH relativeFrom="page">
            <wp:posOffset>-2540</wp:posOffset>
          </wp:positionH>
          <wp:positionV relativeFrom="page">
            <wp:posOffset>-14605</wp:posOffset>
          </wp:positionV>
          <wp:extent cx="7556400" cy="1828776"/>
          <wp:effectExtent l="0" t="0" r="6985" b="63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Information sheets deep header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400" cy="1828776"/>
                  </a:xfrm>
                  <a:prstGeom prst="rect">
                    <a:avLst/>
                  </a:prstGeom>
                </pic:spPr>
              </pic:pic>
            </a:graphicData>
          </a:graphic>
          <wp14:sizeRelH relativeFrom="margin">
            <wp14:pctWidth>0</wp14:pctWidth>
          </wp14:sizeRelH>
          <wp14:sizeRelV relativeFrom="margin">
            <wp14:pctHeight>0</wp14:pctHeight>
          </wp14:sizeRelV>
        </wp:anchor>
      </w:drawing>
    </w:r>
    <w:r w:rsidR="001B01F3">
      <w:rPr>
        <w:noProof/>
      </w:rPr>
      <w:t xml:space="preserve"> </w:t>
    </w:r>
    <w:r w:rsidR="00F353D5">
      <w:rPr>
        <w:noProof/>
      </w:rPr>
      <mc:AlternateContent>
        <mc:Choice Requires="wps">
          <w:drawing>
            <wp:anchor distT="0" distB="0" distL="114300" distR="114300" simplePos="0" relativeHeight="251666432" behindDoc="0" locked="0" layoutInCell="0" allowOverlap="1" wp14:anchorId="5421FDA2" wp14:editId="5A45CC6B">
              <wp:simplePos x="0" y="0"/>
              <wp:positionH relativeFrom="page">
                <wp:posOffset>0</wp:posOffset>
              </wp:positionH>
              <wp:positionV relativeFrom="page">
                <wp:posOffset>190500</wp:posOffset>
              </wp:positionV>
              <wp:extent cx="7560310" cy="273050"/>
              <wp:effectExtent l="0" t="0" r="0" b="12700"/>
              <wp:wrapNone/>
              <wp:docPr id="2" name="MSIPCM59fc4a50baf958e887472024"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52E48" w14:textId="444A5659" w:rsidR="00F353D5" w:rsidRPr="00F353D5" w:rsidRDefault="00F353D5" w:rsidP="00F353D5">
                          <w:pPr>
                            <w:spacing w:after="0"/>
                            <w:jc w:val="center"/>
                            <w:rPr>
                              <w:rFonts w:ascii="Calibri" w:hAnsi="Calibri" w:cs="Calibri"/>
                              <w:color w:val="000000"/>
                              <w:sz w:val="24"/>
                            </w:rPr>
                          </w:pPr>
                          <w:r w:rsidRPr="00F353D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21FDA2" id="_x0000_t202" coordsize="21600,21600" o:spt="202" path="m,l,21600r21600,l21600,xe">
              <v:stroke joinstyle="miter"/>
              <v:path gradientshapeok="t" o:connecttype="rect"/>
            </v:shapetype>
            <v:shape id="MSIPCM59fc4a50baf958e887472024"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8652E48" w14:textId="444A5659" w:rsidR="00F353D5" w:rsidRPr="00F353D5" w:rsidRDefault="00F353D5" w:rsidP="00F353D5">
                    <w:pPr>
                      <w:spacing w:after="0"/>
                      <w:jc w:val="center"/>
                      <w:rPr>
                        <w:rFonts w:ascii="Calibri" w:hAnsi="Calibri" w:cs="Calibri"/>
                        <w:color w:val="000000"/>
                        <w:sz w:val="24"/>
                      </w:rPr>
                    </w:pPr>
                    <w:r w:rsidRPr="00F353D5">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8D"/>
    <w:multiLevelType w:val="multilevel"/>
    <w:tmpl w:val="2F0AE5F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4E7552"/>
    <w:multiLevelType w:val="hybridMultilevel"/>
    <w:tmpl w:val="178CB242"/>
    <w:lvl w:ilvl="0" w:tplc="0FB4CF2E">
      <w:numFmt w:val="bullet"/>
      <w:lvlText w:val="•"/>
      <w:lvlJc w:val="left"/>
      <w:pPr>
        <w:ind w:left="402" w:hanging="240"/>
      </w:pPr>
      <w:rPr>
        <w:rFonts w:ascii="Arial" w:eastAsia="Arial" w:hAnsi="Arial" w:cs="Arial" w:hint="default"/>
        <w:b w:val="0"/>
        <w:bCs w:val="0"/>
        <w:i w:val="0"/>
        <w:iCs w:val="0"/>
        <w:color w:val="231F20"/>
        <w:w w:val="109"/>
        <w:sz w:val="18"/>
        <w:szCs w:val="18"/>
        <w:lang w:val="en-US" w:eastAsia="en-US" w:bidi="ar-SA"/>
      </w:rPr>
    </w:lvl>
    <w:lvl w:ilvl="1" w:tplc="A208A4D2">
      <w:numFmt w:val="bullet"/>
      <w:lvlText w:val="•"/>
      <w:lvlJc w:val="left"/>
      <w:pPr>
        <w:ind w:left="774" w:hanging="240"/>
      </w:pPr>
      <w:rPr>
        <w:rFonts w:hint="default"/>
        <w:lang w:val="en-US" w:eastAsia="en-US" w:bidi="ar-SA"/>
      </w:rPr>
    </w:lvl>
    <w:lvl w:ilvl="2" w:tplc="938CFDAA">
      <w:numFmt w:val="bullet"/>
      <w:lvlText w:val="•"/>
      <w:lvlJc w:val="left"/>
      <w:pPr>
        <w:ind w:left="1149" w:hanging="240"/>
      </w:pPr>
      <w:rPr>
        <w:rFonts w:hint="default"/>
        <w:lang w:val="en-US" w:eastAsia="en-US" w:bidi="ar-SA"/>
      </w:rPr>
    </w:lvl>
    <w:lvl w:ilvl="3" w:tplc="FD66BC16">
      <w:numFmt w:val="bullet"/>
      <w:lvlText w:val="•"/>
      <w:lvlJc w:val="left"/>
      <w:pPr>
        <w:ind w:left="1524" w:hanging="240"/>
      </w:pPr>
      <w:rPr>
        <w:rFonts w:hint="default"/>
        <w:lang w:val="en-US" w:eastAsia="en-US" w:bidi="ar-SA"/>
      </w:rPr>
    </w:lvl>
    <w:lvl w:ilvl="4" w:tplc="2F38D872">
      <w:numFmt w:val="bullet"/>
      <w:lvlText w:val="•"/>
      <w:lvlJc w:val="left"/>
      <w:pPr>
        <w:ind w:left="1899" w:hanging="240"/>
      </w:pPr>
      <w:rPr>
        <w:rFonts w:hint="default"/>
        <w:lang w:val="en-US" w:eastAsia="en-US" w:bidi="ar-SA"/>
      </w:rPr>
    </w:lvl>
    <w:lvl w:ilvl="5" w:tplc="15BC2A86">
      <w:numFmt w:val="bullet"/>
      <w:lvlText w:val="•"/>
      <w:lvlJc w:val="left"/>
      <w:pPr>
        <w:ind w:left="2274" w:hanging="240"/>
      </w:pPr>
      <w:rPr>
        <w:rFonts w:hint="default"/>
        <w:lang w:val="en-US" w:eastAsia="en-US" w:bidi="ar-SA"/>
      </w:rPr>
    </w:lvl>
    <w:lvl w:ilvl="6" w:tplc="E1CCDEA4">
      <w:numFmt w:val="bullet"/>
      <w:lvlText w:val="•"/>
      <w:lvlJc w:val="left"/>
      <w:pPr>
        <w:ind w:left="2649" w:hanging="240"/>
      </w:pPr>
      <w:rPr>
        <w:rFonts w:hint="default"/>
        <w:lang w:val="en-US" w:eastAsia="en-US" w:bidi="ar-SA"/>
      </w:rPr>
    </w:lvl>
    <w:lvl w:ilvl="7" w:tplc="CB5AC4D6">
      <w:numFmt w:val="bullet"/>
      <w:lvlText w:val="•"/>
      <w:lvlJc w:val="left"/>
      <w:pPr>
        <w:ind w:left="3024" w:hanging="240"/>
      </w:pPr>
      <w:rPr>
        <w:rFonts w:hint="default"/>
        <w:lang w:val="en-US" w:eastAsia="en-US" w:bidi="ar-SA"/>
      </w:rPr>
    </w:lvl>
    <w:lvl w:ilvl="8" w:tplc="E878F1C0">
      <w:numFmt w:val="bullet"/>
      <w:lvlText w:val="•"/>
      <w:lvlJc w:val="left"/>
      <w:pPr>
        <w:ind w:left="3399" w:hanging="240"/>
      </w:pPr>
      <w:rPr>
        <w:rFonts w:hint="default"/>
        <w:lang w:val="en-US" w:eastAsia="en-US" w:bidi="ar-SA"/>
      </w:rPr>
    </w:lvl>
  </w:abstractNum>
  <w:abstractNum w:abstractNumId="2" w15:restartNumberingAfterBreak="0">
    <w:nsid w:val="13A67285"/>
    <w:multiLevelType w:val="multilevel"/>
    <w:tmpl w:val="2BA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E7DCD"/>
    <w:multiLevelType w:val="hybridMultilevel"/>
    <w:tmpl w:val="7B280F5C"/>
    <w:lvl w:ilvl="0" w:tplc="BF42F908">
      <w:start w:val="1"/>
      <w:numFmt w:val="decimal"/>
      <w:lvlText w:val="%1."/>
      <w:lvlJc w:val="left"/>
      <w:pPr>
        <w:ind w:left="720" w:hanging="360"/>
      </w:pPr>
      <w:rPr>
        <w:rFonts w:hint="default"/>
        <w:b/>
        <w:bCs/>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666E58"/>
    <w:multiLevelType w:val="hybridMultilevel"/>
    <w:tmpl w:val="DC1A4E02"/>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B292CCC"/>
    <w:multiLevelType w:val="hybridMultilevel"/>
    <w:tmpl w:val="0E4CE4C8"/>
    <w:lvl w:ilvl="0" w:tplc="2DA0BF0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86022"/>
    <w:multiLevelType w:val="hybridMultilevel"/>
    <w:tmpl w:val="0846AF8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FB0E92"/>
    <w:multiLevelType w:val="hybridMultilevel"/>
    <w:tmpl w:val="7264C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E2EE1"/>
    <w:multiLevelType w:val="hybridMultilevel"/>
    <w:tmpl w:val="5660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00484"/>
    <w:multiLevelType w:val="hybridMultilevel"/>
    <w:tmpl w:val="15DA9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1553BF8"/>
    <w:multiLevelType w:val="multilevel"/>
    <w:tmpl w:val="C31C8DE2"/>
    <w:lvl w:ilvl="0">
      <w:start w:val="1"/>
      <w:numFmt w:val="decimal"/>
      <w:lvlText w:val="%1."/>
      <w:lvlJc w:val="left"/>
      <w:pPr>
        <w:ind w:left="720" w:hanging="360"/>
      </w:pPr>
      <w:rPr>
        <w:rFonts w:hint="default"/>
        <w:b/>
        <w:bCs/>
        <w:strike w:val="0"/>
        <w:sz w:val="32"/>
        <w:szCs w:val="32"/>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24E0496"/>
    <w:multiLevelType w:val="hybridMultilevel"/>
    <w:tmpl w:val="37FE7F80"/>
    <w:lvl w:ilvl="0" w:tplc="0C090005">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40BF0E0C"/>
    <w:multiLevelType w:val="hybridMultilevel"/>
    <w:tmpl w:val="19C87724"/>
    <w:lvl w:ilvl="0" w:tplc="0C090001">
      <w:start w:val="1"/>
      <w:numFmt w:val="bullet"/>
      <w:lvlText w:val=""/>
      <w:lvlJc w:val="left"/>
      <w:pPr>
        <w:ind w:left="720" w:hanging="360"/>
      </w:pPr>
      <w:rPr>
        <w:rFonts w:ascii="Symbol" w:hAnsi="Symbol" w:hint="default"/>
      </w:rPr>
    </w:lvl>
    <w:lvl w:ilvl="1" w:tplc="511039A6">
      <w:start w:val="1"/>
      <w:numFmt w:val="lowerLetter"/>
      <w:lvlText w:val="%2."/>
      <w:lvlJc w:val="left"/>
      <w:pPr>
        <w:ind w:left="1440" w:hanging="360"/>
      </w:pPr>
    </w:lvl>
    <w:lvl w:ilvl="2" w:tplc="12A6E3A2">
      <w:start w:val="1"/>
      <w:numFmt w:val="lowerRoman"/>
      <w:lvlText w:val="%3."/>
      <w:lvlJc w:val="right"/>
      <w:pPr>
        <w:ind w:left="2160" w:hanging="180"/>
      </w:pPr>
    </w:lvl>
    <w:lvl w:ilvl="3" w:tplc="66F67E5E">
      <w:start w:val="1"/>
      <w:numFmt w:val="decimal"/>
      <w:lvlText w:val="%4."/>
      <w:lvlJc w:val="left"/>
      <w:pPr>
        <w:ind w:left="2880" w:hanging="360"/>
      </w:pPr>
    </w:lvl>
    <w:lvl w:ilvl="4" w:tplc="43D486D6">
      <w:start w:val="1"/>
      <w:numFmt w:val="lowerLetter"/>
      <w:lvlText w:val="%5."/>
      <w:lvlJc w:val="left"/>
      <w:pPr>
        <w:ind w:left="3600" w:hanging="360"/>
      </w:pPr>
    </w:lvl>
    <w:lvl w:ilvl="5" w:tplc="39C82286">
      <w:start w:val="1"/>
      <w:numFmt w:val="lowerRoman"/>
      <w:lvlText w:val="%6."/>
      <w:lvlJc w:val="right"/>
      <w:pPr>
        <w:ind w:left="4320" w:hanging="180"/>
      </w:pPr>
    </w:lvl>
    <w:lvl w:ilvl="6" w:tplc="BD608808">
      <w:start w:val="1"/>
      <w:numFmt w:val="decimal"/>
      <w:lvlText w:val="%7."/>
      <w:lvlJc w:val="left"/>
      <w:pPr>
        <w:ind w:left="5040" w:hanging="360"/>
      </w:pPr>
    </w:lvl>
    <w:lvl w:ilvl="7" w:tplc="08E810D2">
      <w:start w:val="1"/>
      <w:numFmt w:val="lowerLetter"/>
      <w:lvlText w:val="%8."/>
      <w:lvlJc w:val="left"/>
      <w:pPr>
        <w:ind w:left="5760" w:hanging="360"/>
      </w:pPr>
    </w:lvl>
    <w:lvl w:ilvl="8" w:tplc="C7024D68">
      <w:start w:val="1"/>
      <w:numFmt w:val="lowerRoman"/>
      <w:lvlText w:val="%9."/>
      <w:lvlJc w:val="right"/>
      <w:pPr>
        <w:ind w:left="6480" w:hanging="180"/>
      </w:pPr>
    </w:lvl>
  </w:abstractNum>
  <w:abstractNum w:abstractNumId="13" w15:restartNumberingAfterBreak="0">
    <w:nsid w:val="450B6E67"/>
    <w:multiLevelType w:val="hybridMultilevel"/>
    <w:tmpl w:val="57EC7DEE"/>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4F9F5D74"/>
    <w:multiLevelType w:val="hybridMultilevel"/>
    <w:tmpl w:val="FFFFFFFF"/>
    <w:lvl w:ilvl="0" w:tplc="D89A40C2">
      <w:start w:val="1"/>
      <w:numFmt w:val="bullet"/>
      <w:lvlText w:val="·"/>
      <w:lvlJc w:val="left"/>
      <w:pPr>
        <w:ind w:left="720" w:hanging="360"/>
      </w:pPr>
      <w:rPr>
        <w:rFonts w:ascii="Symbol" w:hAnsi="Symbol" w:hint="default"/>
      </w:rPr>
    </w:lvl>
    <w:lvl w:ilvl="1" w:tplc="C806258A">
      <w:start w:val="1"/>
      <w:numFmt w:val="bullet"/>
      <w:lvlText w:val="o"/>
      <w:lvlJc w:val="left"/>
      <w:pPr>
        <w:ind w:left="1440" w:hanging="360"/>
      </w:pPr>
      <w:rPr>
        <w:rFonts w:ascii="Courier New" w:hAnsi="Courier New" w:hint="default"/>
      </w:rPr>
    </w:lvl>
    <w:lvl w:ilvl="2" w:tplc="AAEC9A74">
      <w:start w:val="1"/>
      <w:numFmt w:val="bullet"/>
      <w:lvlText w:val=""/>
      <w:lvlJc w:val="left"/>
      <w:pPr>
        <w:ind w:left="2160" w:hanging="360"/>
      </w:pPr>
      <w:rPr>
        <w:rFonts w:ascii="Wingdings" w:hAnsi="Wingdings" w:hint="default"/>
      </w:rPr>
    </w:lvl>
    <w:lvl w:ilvl="3" w:tplc="05304FF4">
      <w:start w:val="1"/>
      <w:numFmt w:val="bullet"/>
      <w:lvlText w:val=""/>
      <w:lvlJc w:val="left"/>
      <w:pPr>
        <w:ind w:left="2880" w:hanging="360"/>
      </w:pPr>
      <w:rPr>
        <w:rFonts w:ascii="Symbol" w:hAnsi="Symbol" w:hint="default"/>
      </w:rPr>
    </w:lvl>
    <w:lvl w:ilvl="4" w:tplc="CDF4B588">
      <w:start w:val="1"/>
      <w:numFmt w:val="bullet"/>
      <w:lvlText w:val="o"/>
      <w:lvlJc w:val="left"/>
      <w:pPr>
        <w:ind w:left="3600" w:hanging="360"/>
      </w:pPr>
      <w:rPr>
        <w:rFonts w:ascii="Courier New" w:hAnsi="Courier New" w:hint="default"/>
      </w:rPr>
    </w:lvl>
    <w:lvl w:ilvl="5" w:tplc="BC30299C">
      <w:start w:val="1"/>
      <w:numFmt w:val="bullet"/>
      <w:lvlText w:val=""/>
      <w:lvlJc w:val="left"/>
      <w:pPr>
        <w:ind w:left="4320" w:hanging="360"/>
      </w:pPr>
      <w:rPr>
        <w:rFonts w:ascii="Wingdings" w:hAnsi="Wingdings" w:hint="default"/>
      </w:rPr>
    </w:lvl>
    <w:lvl w:ilvl="6" w:tplc="AA60C254">
      <w:start w:val="1"/>
      <w:numFmt w:val="bullet"/>
      <w:lvlText w:val=""/>
      <w:lvlJc w:val="left"/>
      <w:pPr>
        <w:ind w:left="5040" w:hanging="360"/>
      </w:pPr>
      <w:rPr>
        <w:rFonts w:ascii="Symbol" w:hAnsi="Symbol" w:hint="default"/>
      </w:rPr>
    </w:lvl>
    <w:lvl w:ilvl="7" w:tplc="9B103940">
      <w:start w:val="1"/>
      <w:numFmt w:val="bullet"/>
      <w:lvlText w:val="o"/>
      <w:lvlJc w:val="left"/>
      <w:pPr>
        <w:ind w:left="5760" w:hanging="360"/>
      </w:pPr>
      <w:rPr>
        <w:rFonts w:ascii="Courier New" w:hAnsi="Courier New" w:hint="default"/>
      </w:rPr>
    </w:lvl>
    <w:lvl w:ilvl="8" w:tplc="B77468A4">
      <w:start w:val="1"/>
      <w:numFmt w:val="bullet"/>
      <w:lvlText w:val=""/>
      <w:lvlJc w:val="left"/>
      <w:pPr>
        <w:ind w:left="6480" w:hanging="360"/>
      </w:pPr>
      <w:rPr>
        <w:rFonts w:ascii="Wingdings" w:hAnsi="Wingdings" w:hint="default"/>
      </w:rPr>
    </w:lvl>
  </w:abstractNum>
  <w:abstractNum w:abstractNumId="15" w15:restartNumberingAfterBreak="0">
    <w:nsid w:val="501B6AB5"/>
    <w:multiLevelType w:val="hybridMultilevel"/>
    <w:tmpl w:val="7B280F5C"/>
    <w:lvl w:ilvl="0" w:tplc="BF42F908">
      <w:start w:val="1"/>
      <w:numFmt w:val="decimal"/>
      <w:lvlText w:val="%1."/>
      <w:lvlJc w:val="left"/>
      <w:pPr>
        <w:ind w:left="720" w:hanging="360"/>
      </w:pPr>
      <w:rPr>
        <w:rFonts w:hint="default"/>
        <w:b/>
        <w:bCs/>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3775DB"/>
    <w:multiLevelType w:val="hybridMultilevel"/>
    <w:tmpl w:val="3FF64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7D0E3B"/>
    <w:multiLevelType w:val="hybridMultilevel"/>
    <w:tmpl w:val="339683FE"/>
    <w:lvl w:ilvl="0" w:tplc="5122EB70">
      <w:numFmt w:val="bullet"/>
      <w:lvlText w:val="•"/>
      <w:lvlJc w:val="left"/>
      <w:pPr>
        <w:ind w:left="402" w:hanging="240"/>
      </w:pPr>
      <w:rPr>
        <w:rFonts w:ascii="Arial" w:eastAsia="Arial" w:hAnsi="Arial" w:cs="Arial" w:hint="default"/>
        <w:b w:val="0"/>
        <w:bCs w:val="0"/>
        <w:i w:val="0"/>
        <w:iCs w:val="0"/>
        <w:color w:val="231F20"/>
        <w:w w:val="109"/>
        <w:sz w:val="18"/>
        <w:szCs w:val="18"/>
        <w:lang w:val="en-US" w:eastAsia="en-US" w:bidi="ar-SA"/>
      </w:rPr>
    </w:lvl>
    <w:lvl w:ilvl="1" w:tplc="E1064A3C">
      <w:numFmt w:val="bullet"/>
      <w:lvlText w:val="•"/>
      <w:lvlJc w:val="left"/>
      <w:pPr>
        <w:ind w:left="774" w:hanging="240"/>
      </w:pPr>
      <w:rPr>
        <w:rFonts w:hint="default"/>
        <w:lang w:val="en-US" w:eastAsia="en-US" w:bidi="ar-SA"/>
      </w:rPr>
    </w:lvl>
    <w:lvl w:ilvl="2" w:tplc="537C54EA">
      <w:numFmt w:val="bullet"/>
      <w:lvlText w:val="•"/>
      <w:lvlJc w:val="left"/>
      <w:pPr>
        <w:ind w:left="1149" w:hanging="240"/>
      </w:pPr>
      <w:rPr>
        <w:rFonts w:hint="default"/>
        <w:lang w:val="en-US" w:eastAsia="en-US" w:bidi="ar-SA"/>
      </w:rPr>
    </w:lvl>
    <w:lvl w:ilvl="3" w:tplc="E77C2E56">
      <w:numFmt w:val="bullet"/>
      <w:lvlText w:val="•"/>
      <w:lvlJc w:val="left"/>
      <w:pPr>
        <w:ind w:left="1524" w:hanging="240"/>
      </w:pPr>
      <w:rPr>
        <w:rFonts w:hint="default"/>
        <w:lang w:val="en-US" w:eastAsia="en-US" w:bidi="ar-SA"/>
      </w:rPr>
    </w:lvl>
    <w:lvl w:ilvl="4" w:tplc="101A2A62">
      <w:numFmt w:val="bullet"/>
      <w:lvlText w:val="•"/>
      <w:lvlJc w:val="left"/>
      <w:pPr>
        <w:ind w:left="1899" w:hanging="240"/>
      </w:pPr>
      <w:rPr>
        <w:rFonts w:hint="default"/>
        <w:lang w:val="en-US" w:eastAsia="en-US" w:bidi="ar-SA"/>
      </w:rPr>
    </w:lvl>
    <w:lvl w:ilvl="5" w:tplc="6E983D2E">
      <w:numFmt w:val="bullet"/>
      <w:lvlText w:val="•"/>
      <w:lvlJc w:val="left"/>
      <w:pPr>
        <w:ind w:left="2274" w:hanging="240"/>
      </w:pPr>
      <w:rPr>
        <w:rFonts w:hint="default"/>
        <w:lang w:val="en-US" w:eastAsia="en-US" w:bidi="ar-SA"/>
      </w:rPr>
    </w:lvl>
    <w:lvl w:ilvl="6" w:tplc="6BB0C422">
      <w:numFmt w:val="bullet"/>
      <w:lvlText w:val="•"/>
      <w:lvlJc w:val="left"/>
      <w:pPr>
        <w:ind w:left="2649" w:hanging="240"/>
      </w:pPr>
      <w:rPr>
        <w:rFonts w:hint="default"/>
        <w:lang w:val="en-US" w:eastAsia="en-US" w:bidi="ar-SA"/>
      </w:rPr>
    </w:lvl>
    <w:lvl w:ilvl="7" w:tplc="EA484944">
      <w:numFmt w:val="bullet"/>
      <w:lvlText w:val="•"/>
      <w:lvlJc w:val="left"/>
      <w:pPr>
        <w:ind w:left="3024" w:hanging="240"/>
      </w:pPr>
      <w:rPr>
        <w:rFonts w:hint="default"/>
        <w:lang w:val="en-US" w:eastAsia="en-US" w:bidi="ar-SA"/>
      </w:rPr>
    </w:lvl>
    <w:lvl w:ilvl="8" w:tplc="01E06B0C">
      <w:numFmt w:val="bullet"/>
      <w:lvlText w:val="•"/>
      <w:lvlJc w:val="left"/>
      <w:pPr>
        <w:ind w:left="3399" w:hanging="240"/>
      </w:pPr>
      <w:rPr>
        <w:rFonts w:hint="default"/>
        <w:lang w:val="en-US" w:eastAsia="en-US" w:bidi="ar-SA"/>
      </w:rPr>
    </w:lvl>
  </w:abstractNum>
  <w:abstractNum w:abstractNumId="18" w15:restartNumberingAfterBreak="0">
    <w:nsid w:val="5C83675E"/>
    <w:multiLevelType w:val="hybridMultilevel"/>
    <w:tmpl w:val="80247FD8"/>
    <w:lvl w:ilvl="0" w:tplc="655E466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7C194D"/>
    <w:multiLevelType w:val="hybridMultilevel"/>
    <w:tmpl w:val="D7EAC208"/>
    <w:lvl w:ilvl="0" w:tplc="CD40AA68">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665965"/>
    <w:multiLevelType w:val="multilevel"/>
    <w:tmpl w:val="5CB64A42"/>
    <w:lvl w:ilvl="0">
      <w:start w:val="1"/>
      <w:numFmt w:val="decimal"/>
      <w:lvlText w:val="%1."/>
      <w:lvlJc w:val="left"/>
      <w:pPr>
        <w:ind w:left="3142" w:hanging="355"/>
      </w:pPr>
      <w:rPr>
        <w:rFonts w:ascii="VIC-SemiBold" w:eastAsia="VIC-SemiBold" w:hAnsi="VIC-SemiBold" w:cs="VIC-SemiBold" w:hint="default"/>
        <w:b/>
        <w:bCs/>
        <w:i w:val="0"/>
        <w:iCs w:val="0"/>
        <w:color w:val="25408F"/>
        <w:spacing w:val="-7"/>
        <w:w w:val="100"/>
        <w:sz w:val="44"/>
        <w:szCs w:val="44"/>
        <w:lang w:val="en-US" w:eastAsia="en-US" w:bidi="ar-SA"/>
      </w:rPr>
    </w:lvl>
    <w:lvl w:ilvl="1">
      <w:start w:val="1"/>
      <w:numFmt w:val="decimal"/>
      <w:lvlText w:val="%1.%2"/>
      <w:lvlJc w:val="left"/>
      <w:pPr>
        <w:ind w:left="3040" w:hanging="254"/>
      </w:pPr>
      <w:rPr>
        <w:rFonts w:ascii="VIC-SemiBold" w:eastAsia="VIC-SemiBold" w:hAnsi="VIC-SemiBold" w:cs="VIC-SemiBold" w:hint="default"/>
        <w:b/>
        <w:bCs/>
        <w:i w:val="0"/>
        <w:iCs w:val="0"/>
        <w:color w:val="231F20"/>
        <w:spacing w:val="-11"/>
        <w:w w:val="100"/>
        <w:sz w:val="18"/>
        <w:szCs w:val="18"/>
        <w:lang w:val="en-US" w:eastAsia="en-US" w:bidi="ar-SA"/>
      </w:rPr>
    </w:lvl>
    <w:lvl w:ilvl="2">
      <w:start w:val="1"/>
      <w:numFmt w:val="decimal"/>
      <w:lvlText w:val="%1.%2.%3"/>
      <w:lvlJc w:val="left"/>
      <w:pPr>
        <w:ind w:left="3179" w:hanging="392"/>
      </w:pPr>
      <w:rPr>
        <w:rFonts w:ascii="VIC-SemiBold" w:eastAsia="VIC-SemiBold" w:hAnsi="VIC-SemiBold" w:cs="VIC-SemiBold" w:hint="default"/>
        <w:b/>
        <w:bCs/>
        <w:i w:val="0"/>
        <w:iCs w:val="0"/>
        <w:color w:val="231F20"/>
        <w:spacing w:val="-11"/>
        <w:w w:val="100"/>
        <w:sz w:val="18"/>
        <w:szCs w:val="18"/>
        <w:lang w:val="en-US" w:eastAsia="en-US" w:bidi="ar-SA"/>
      </w:rPr>
    </w:lvl>
    <w:lvl w:ilvl="3">
      <w:numFmt w:val="bullet"/>
      <w:lvlText w:val="•"/>
      <w:lvlJc w:val="left"/>
      <w:pPr>
        <w:ind w:left="3180" w:hanging="392"/>
      </w:pPr>
      <w:rPr>
        <w:rFonts w:hint="default"/>
        <w:lang w:val="en-US" w:eastAsia="en-US" w:bidi="ar-SA"/>
      </w:rPr>
    </w:lvl>
    <w:lvl w:ilvl="4">
      <w:numFmt w:val="bullet"/>
      <w:lvlText w:val="•"/>
      <w:lvlJc w:val="left"/>
      <w:pPr>
        <w:ind w:left="4220" w:hanging="392"/>
      </w:pPr>
      <w:rPr>
        <w:rFonts w:hint="default"/>
        <w:lang w:val="en-US" w:eastAsia="en-US" w:bidi="ar-SA"/>
      </w:rPr>
    </w:lvl>
    <w:lvl w:ilvl="5">
      <w:numFmt w:val="bullet"/>
      <w:lvlText w:val="•"/>
      <w:lvlJc w:val="left"/>
      <w:pPr>
        <w:ind w:left="5261" w:hanging="392"/>
      </w:pPr>
      <w:rPr>
        <w:rFonts w:hint="default"/>
        <w:lang w:val="en-US" w:eastAsia="en-US" w:bidi="ar-SA"/>
      </w:rPr>
    </w:lvl>
    <w:lvl w:ilvl="6">
      <w:numFmt w:val="bullet"/>
      <w:lvlText w:val="•"/>
      <w:lvlJc w:val="left"/>
      <w:pPr>
        <w:ind w:left="6302" w:hanging="392"/>
      </w:pPr>
      <w:rPr>
        <w:rFonts w:hint="default"/>
        <w:lang w:val="en-US" w:eastAsia="en-US" w:bidi="ar-SA"/>
      </w:rPr>
    </w:lvl>
    <w:lvl w:ilvl="7">
      <w:numFmt w:val="bullet"/>
      <w:lvlText w:val="•"/>
      <w:lvlJc w:val="left"/>
      <w:pPr>
        <w:ind w:left="7343" w:hanging="392"/>
      </w:pPr>
      <w:rPr>
        <w:rFonts w:hint="default"/>
        <w:lang w:val="en-US" w:eastAsia="en-US" w:bidi="ar-SA"/>
      </w:rPr>
    </w:lvl>
    <w:lvl w:ilvl="8">
      <w:numFmt w:val="bullet"/>
      <w:lvlText w:val="•"/>
      <w:lvlJc w:val="left"/>
      <w:pPr>
        <w:ind w:left="8383" w:hanging="392"/>
      </w:pPr>
      <w:rPr>
        <w:rFonts w:hint="default"/>
        <w:lang w:val="en-US" w:eastAsia="en-US" w:bidi="ar-SA"/>
      </w:rPr>
    </w:lvl>
  </w:abstractNum>
  <w:abstractNum w:abstractNumId="21" w15:restartNumberingAfterBreak="0">
    <w:nsid w:val="617B0554"/>
    <w:multiLevelType w:val="hybridMultilevel"/>
    <w:tmpl w:val="4748EA00"/>
    <w:lvl w:ilvl="0" w:tplc="CD40AA6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FC075B"/>
    <w:multiLevelType w:val="hybridMultilevel"/>
    <w:tmpl w:val="3D5C4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45603B"/>
    <w:multiLevelType w:val="hybridMultilevel"/>
    <w:tmpl w:val="E4042C5A"/>
    <w:lvl w:ilvl="0" w:tplc="2DA0BF0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17546"/>
    <w:multiLevelType w:val="hybridMultilevel"/>
    <w:tmpl w:val="53901F8E"/>
    <w:lvl w:ilvl="0" w:tplc="3C060A44">
      <w:start w:val="417"/>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DD5E6F"/>
    <w:multiLevelType w:val="hybridMultilevel"/>
    <w:tmpl w:val="0482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EE38DB"/>
    <w:multiLevelType w:val="hybridMultilevel"/>
    <w:tmpl w:val="C706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3820A1"/>
    <w:multiLevelType w:val="hybridMultilevel"/>
    <w:tmpl w:val="E340BA56"/>
    <w:lvl w:ilvl="0" w:tplc="1922B2FC">
      <w:start w:val="1"/>
      <w:numFmt w:val="decimal"/>
      <w:lvlText w:val="%1"/>
      <w:lvlJc w:val="left"/>
      <w:pPr>
        <w:ind w:left="3027" w:hanging="240"/>
      </w:pPr>
      <w:rPr>
        <w:rFonts w:ascii="Arial" w:eastAsia="Arial" w:hAnsi="Arial" w:cs="Arial" w:hint="default"/>
        <w:b w:val="0"/>
        <w:bCs w:val="0"/>
        <w:i w:val="0"/>
        <w:iCs w:val="0"/>
        <w:color w:val="454E55"/>
        <w:w w:val="62"/>
        <w:sz w:val="14"/>
        <w:szCs w:val="14"/>
        <w:lang w:val="en-US" w:eastAsia="en-US" w:bidi="ar-SA"/>
      </w:rPr>
    </w:lvl>
    <w:lvl w:ilvl="1" w:tplc="0FF0AD4A">
      <w:numFmt w:val="bullet"/>
      <w:lvlText w:val="•"/>
      <w:lvlJc w:val="left"/>
      <w:pPr>
        <w:ind w:left="3764" w:hanging="240"/>
      </w:pPr>
      <w:rPr>
        <w:rFonts w:hint="default"/>
        <w:lang w:val="en-US" w:eastAsia="en-US" w:bidi="ar-SA"/>
      </w:rPr>
    </w:lvl>
    <w:lvl w:ilvl="2" w:tplc="767AB268">
      <w:numFmt w:val="bullet"/>
      <w:lvlText w:val="•"/>
      <w:lvlJc w:val="left"/>
      <w:pPr>
        <w:ind w:left="4509" w:hanging="240"/>
      </w:pPr>
      <w:rPr>
        <w:rFonts w:hint="default"/>
        <w:lang w:val="en-US" w:eastAsia="en-US" w:bidi="ar-SA"/>
      </w:rPr>
    </w:lvl>
    <w:lvl w:ilvl="3" w:tplc="D5AE0C62">
      <w:numFmt w:val="bullet"/>
      <w:lvlText w:val="•"/>
      <w:lvlJc w:val="left"/>
      <w:pPr>
        <w:ind w:left="5253" w:hanging="240"/>
      </w:pPr>
      <w:rPr>
        <w:rFonts w:hint="default"/>
        <w:lang w:val="en-US" w:eastAsia="en-US" w:bidi="ar-SA"/>
      </w:rPr>
    </w:lvl>
    <w:lvl w:ilvl="4" w:tplc="6838BEAA">
      <w:numFmt w:val="bullet"/>
      <w:lvlText w:val="•"/>
      <w:lvlJc w:val="left"/>
      <w:pPr>
        <w:ind w:left="5998" w:hanging="240"/>
      </w:pPr>
      <w:rPr>
        <w:rFonts w:hint="default"/>
        <w:lang w:val="en-US" w:eastAsia="en-US" w:bidi="ar-SA"/>
      </w:rPr>
    </w:lvl>
    <w:lvl w:ilvl="5" w:tplc="1FD69A94">
      <w:numFmt w:val="bullet"/>
      <w:lvlText w:val="•"/>
      <w:lvlJc w:val="left"/>
      <w:pPr>
        <w:ind w:left="6742" w:hanging="240"/>
      </w:pPr>
      <w:rPr>
        <w:rFonts w:hint="default"/>
        <w:lang w:val="en-US" w:eastAsia="en-US" w:bidi="ar-SA"/>
      </w:rPr>
    </w:lvl>
    <w:lvl w:ilvl="6" w:tplc="998E773A">
      <w:numFmt w:val="bullet"/>
      <w:lvlText w:val="•"/>
      <w:lvlJc w:val="left"/>
      <w:pPr>
        <w:ind w:left="7487" w:hanging="240"/>
      </w:pPr>
      <w:rPr>
        <w:rFonts w:hint="default"/>
        <w:lang w:val="en-US" w:eastAsia="en-US" w:bidi="ar-SA"/>
      </w:rPr>
    </w:lvl>
    <w:lvl w:ilvl="7" w:tplc="61AC5E12">
      <w:numFmt w:val="bullet"/>
      <w:lvlText w:val="•"/>
      <w:lvlJc w:val="left"/>
      <w:pPr>
        <w:ind w:left="8231" w:hanging="240"/>
      </w:pPr>
      <w:rPr>
        <w:rFonts w:hint="default"/>
        <w:lang w:val="en-US" w:eastAsia="en-US" w:bidi="ar-SA"/>
      </w:rPr>
    </w:lvl>
    <w:lvl w:ilvl="8" w:tplc="6706DBC6">
      <w:numFmt w:val="bullet"/>
      <w:lvlText w:val="•"/>
      <w:lvlJc w:val="left"/>
      <w:pPr>
        <w:ind w:left="8976" w:hanging="240"/>
      </w:pPr>
      <w:rPr>
        <w:rFonts w:hint="default"/>
        <w:lang w:val="en-US" w:eastAsia="en-US" w:bidi="ar-SA"/>
      </w:rPr>
    </w:lvl>
  </w:abstractNum>
  <w:abstractNum w:abstractNumId="28" w15:restartNumberingAfterBreak="0">
    <w:nsid w:val="7A9746C3"/>
    <w:multiLevelType w:val="hybridMultilevel"/>
    <w:tmpl w:val="ECCAC86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E3A580E"/>
    <w:multiLevelType w:val="hybridMultilevel"/>
    <w:tmpl w:val="FFFFFFFF"/>
    <w:lvl w:ilvl="0" w:tplc="CFC08978">
      <w:start w:val="1"/>
      <w:numFmt w:val="decimal"/>
      <w:lvlText w:val="%1."/>
      <w:lvlJc w:val="left"/>
      <w:pPr>
        <w:ind w:left="720" w:hanging="360"/>
      </w:pPr>
    </w:lvl>
    <w:lvl w:ilvl="1" w:tplc="511039A6">
      <w:start w:val="1"/>
      <w:numFmt w:val="lowerLetter"/>
      <w:lvlText w:val="%2."/>
      <w:lvlJc w:val="left"/>
      <w:pPr>
        <w:ind w:left="1440" w:hanging="360"/>
      </w:pPr>
    </w:lvl>
    <w:lvl w:ilvl="2" w:tplc="12A6E3A2">
      <w:start w:val="1"/>
      <w:numFmt w:val="lowerRoman"/>
      <w:lvlText w:val="%3."/>
      <w:lvlJc w:val="right"/>
      <w:pPr>
        <w:ind w:left="2160" w:hanging="180"/>
      </w:pPr>
    </w:lvl>
    <w:lvl w:ilvl="3" w:tplc="66F67E5E">
      <w:start w:val="1"/>
      <w:numFmt w:val="decimal"/>
      <w:lvlText w:val="%4."/>
      <w:lvlJc w:val="left"/>
      <w:pPr>
        <w:ind w:left="2880" w:hanging="360"/>
      </w:pPr>
    </w:lvl>
    <w:lvl w:ilvl="4" w:tplc="43D486D6">
      <w:start w:val="1"/>
      <w:numFmt w:val="lowerLetter"/>
      <w:lvlText w:val="%5."/>
      <w:lvlJc w:val="left"/>
      <w:pPr>
        <w:ind w:left="3600" w:hanging="360"/>
      </w:pPr>
    </w:lvl>
    <w:lvl w:ilvl="5" w:tplc="39C82286">
      <w:start w:val="1"/>
      <w:numFmt w:val="lowerRoman"/>
      <w:lvlText w:val="%6."/>
      <w:lvlJc w:val="right"/>
      <w:pPr>
        <w:ind w:left="4320" w:hanging="180"/>
      </w:pPr>
    </w:lvl>
    <w:lvl w:ilvl="6" w:tplc="BD608808">
      <w:start w:val="1"/>
      <w:numFmt w:val="decimal"/>
      <w:lvlText w:val="%7."/>
      <w:lvlJc w:val="left"/>
      <w:pPr>
        <w:ind w:left="5040" w:hanging="360"/>
      </w:pPr>
    </w:lvl>
    <w:lvl w:ilvl="7" w:tplc="08E810D2">
      <w:start w:val="1"/>
      <w:numFmt w:val="lowerLetter"/>
      <w:lvlText w:val="%8."/>
      <w:lvlJc w:val="left"/>
      <w:pPr>
        <w:ind w:left="5760" w:hanging="360"/>
      </w:pPr>
    </w:lvl>
    <w:lvl w:ilvl="8" w:tplc="C7024D68">
      <w:start w:val="1"/>
      <w:numFmt w:val="lowerRoman"/>
      <w:lvlText w:val="%9."/>
      <w:lvlJc w:val="right"/>
      <w:pPr>
        <w:ind w:left="6480" w:hanging="180"/>
      </w:pPr>
    </w:lvl>
  </w:abstractNum>
  <w:abstractNum w:abstractNumId="30" w15:restartNumberingAfterBreak="0">
    <w:nsid w:val="7FF77294"/>
    <w:multiLevelType w:val="hybridMultilevel"/>
    <w:tmpl w:val="E3E6A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4"/>
  </w:num>
  <w:num w:numId="4">
    <w:abstractNumId w:val="27"/>
  </w:num>
  <w:num w:numId="5">
    <w:abstractNumId w:val="17"/>
  </w:num>
  <w:num w:numId="6">
    <w:abstractNumId w:val="1"/>
  </w:num>
  <w:num w:numId="7">
    <w:abstractNumId w:val="21"/>
  </w:num>
  <w:num w:numId="8">
    <w:abstractNumId w:val="5"/>
  </w:num>
  <w:num w:numId="9">
    <w:abstractNumId w:val="20"/>
  </w:num>
  <w:num w:numId="10">
    <w:abstractNumId w:val="23"/>
  </w:num>
  <w:num w:numId="11">
    <w:abstractNumId w:val="6"/>
  </w:num>
  <w:num w:numId="12">
    <w:abstractNumId w:val="10"/>
  </w:num>
  <w:num w:numId="13">
    <w:abstractNumId w:val="3"/>
  </w:num>
  <w:num w:numId="14">
    <w:abstractNumId w:val="15"/>
  </w:num>
  <w:num w:numId="15">
    <w:abstractNumId w:val="4"/>
  </w:num>
  <w:num w:numId="16">
    <w:abstractNumId w:val="25"/>
  </w:num>
  <w:num w:numId="17">
    <w:abstractNumId w:val="26"/>
  </w:num>
  <w:num w:numId="18">
    <w:abstractNumId w:val="0"/>
  </w:num>
  <w:num w:numId="19">
    <w:abstractNumId w:val="9"/>
  </w:num>
  <w:num w:numId="20">
    <w:abstractNumId w:val="9"/>
  </w:num>
  <w:num w:numId="21">
    <w:abstractNumId w:val="30"/>
  </w:num>
  <w:num w:numId="22">
    <w:abstractNumId w:val="14"/>
  </w:num>
  <w:num w:numId="23">
    <w:abstractNumId w:val="9"/>
  </w:num>
  <w:num w:numId="24">
    <w:abstractNumId w:val="7"/>
  </w:num>
  <w:num w:numId="25">
    <w:abstractNumId w:val="13"/>
  </w:num>
  <w:num w:numId="26">
    <w:abstractNumId w:val="29"/>
  </w:num>
  <w:num w:numId="27">
    <w:abstractNumId w:val="12"/>
  </w:num>
  <w:num w:numId="28">
    <w:abstractNumId w:val="11"/>
  </w:num>
  <w:num w:numId="29">
    <w:abstractNumId w:val="28"/>
  </w:num>
  <w:num w:numId="30">
    <w:abstractNumId w:val="22"/>
  </w:num>
  <w:num w:numId="31">
    <w:abstractNumId w:val="16"/>
  </w:num>
  <w:num w:numId="32">
    <w:abstractNumId w:val="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05"/>
    <w:rsid w:val="00001794"/>
    <w:rsid w:val="00001FA1"/>
    <w:rsid w:val="000032D7"/>
    <w:rsid w:val="00003862"/>
    <w:rsid w:val="00003F92"/>
    <w:rsid w:val="00007928"/>
    <w:rsid w:val="00010D43"/>
    <w:rsid w:val="00011EBD"/>
    <w:rsid w:val="00014E1E"/>
    <w:rsid w:val="00016234"/>
    <w:rsid w:val="00020448"/>
    <w:rsid w:val="000205D4"/>
    <w:rsid w:val="0002121F"/>
    <w:rsid w:val="00023A86"/>
    <w:rsid w:val="000252E7"/>
    <w:rsid w:val="00027583"/>
    <w:rsid w:val="000306F6"/>
    <w:rsid w:val="000317E7"/>
    <w:rsid w:val="00031ECB"/>
    <w:rsid w:val="00032C2D"/>
    <w:rsid w:val="000335FF"/>
    <w:rsid w:val="000368DD"/>
    <w:rsid w:val="00036F5C"/>
    <w:rsid w:val="000370F2"/>
    <w:rsid w:val="00037651"/>
    <w:rsid w:val="000378BD"/>
    <w:rsid w:val="00040104"/>
    <w:rsid w:val="000404FD"/>
    <w:rsid w:val="00042BC4"/>
    <w:rsid w:val="000437D0"/>
    <w:rsid w:val="0004457F"/>
    <w:rsid w:val="00045DA2"/>
    <w:rsid w:val="0005048D"/>
    <w:rsid w:val="0005091B"/>
    <w:rsid w:val="00055C05"/>
    <w:rsid w:val="000567A0"/>
    <w:rsid w:val="000573D9"/>
    <w:rsid w:val="00062895"/>
    <w:rsid w:val="00063059"/>
    <w:rsid w:val="00063F06"/>
    <w:rsid w:val="000651D4"/>
    <w:rsid w:val="000652CC"/>
    <w:rsid w:val="00067176"/>
    <w:rsid w:val="0006787D"/>
    <w:rsid w:val="00073AC8"/>
    <w:rsid w:val="00077297"/>
    <w:rsid w:val="0008054A"/>
    <w:rsid w:val="0008073C"/>
    <w:rsid w:val="0008079D"/>
    <w:rsid w:val="00082095"/>
    <w:rsid w:val="00087281"/>
    <w:rsid w:val="000900F1"/>
    <w:rsid w:val="0009219A"/>
    <w:rsid w:val="000934DF"/>
    <w:rsid w:val="00094155"/>
    <w:rsid w:val="0009626D"/>
    <w:rsid w:val="00097575"/>
    <w:rsid w:val="000A16B3"/>
    <w:rsid w:val="000A306B"/>
    <w:rsid w:val="000A310B"/>
    <w:rsid w:val="000A33F0"/>
    <w:rsid w:val="000A3853"/>
    <w:rsid w:val="000A3C12"/>
    <w:rsid w:val="000B0B99"/>
    <w:rsid w:val="000B2BD5"/>
    <w:rsid w:val="000B349B"/>
    <w:rsid w:val="000B7314"/>
    <w:rsid w:val="000B732D"/>
    <w:rsid w:val="000B7746"/>
    <w:rsid w:val="000C0A17"/>
    <w:rsid w:val="000C0AC0"/>
    <w:rsid w:val="000C2FEA"/>
    <w:rsid w:val="000C44BF"/>
    <w:rsid w:val="000D1BB7"/>
    <w:rsid w:val="000D6BA1"/>
    <w:rsid w:val="000D72E8"/>
    <w:rsid w:val="000D7658"/>
    <w:rsid w:val="000D7759"/>
    <w:rsid w:val="000E0058"/>
    <w:rsid w:val="000E0661"/>
    <w:rsid w:val="000E0909"/>
    <w:rsid w:val="000E0B76"/>
    <w:rsid w:val="000E242C"/>
    <w:rsid w:val="000E328B"/>
    <w:rsid w:val="000E34E5"/>
    <w:rsid w:val="000E425D"/>
    <w:rsid w:val="000E4E3A"/>
    <w:rsid w:val="000F0A2C"/>
    <w:rsid w:val="000F1A25"/>
    <w:rsid w:val="000F1C3D"/>
    <w:rsid w:val="000F21BF"/>
    <w:rsid w:val="000F51E8"/>
    <w:rsid w:val="000F536E"/>
    <w:rsid w:val="000F564E"/>
    <w:rsid w:val="000F5682"/>
    <w:rsid w:val="000F70C5"/>
    <w:rsid w:val="00100D66"/>
    <w:rsid w:val="001017F7"/>
    <w:rsid w:val="00102708"/>
    <w:rsid w:val="00102D66"/>
    <w:rsid w:val="001034B0"/>
    <w:rsid w:val="00103F49"/>
    <w:rsid w:val="00105FC2"/>
    <w:rsid w:val="00106E4E"/>
    <w:rsid w:val="00106F8F"/>
    <w:rsid w:val="00107ADD"/>
    <w:rsid w:val="00110586"/>
    <w:rsid w:val="001159CD"/>
    <w:rsid w:val="00116982"/>
    <w:rsid w:val="00117EE4"/>
    <w:rsid w:val="001208DC"/>
    <w:rsid w:val="00120D10"/>
    <w:rsid w:val="001216AB"/>
    <w:rsid w:val="0012235A"/>
    <w:rsid w:val="0012362E"/>
    <w:rsid w:val="00124256"/>
    <w:rsid w:val="00124D45"/>
    <w:rsid w:val="001257AB"/>
    <w:rsid w:val="00126FB1"/>
    <w:rsid w:val="0013005D"/>
    <w:rsid w:val="001300E6"/>
    <w:rsid w:val="00131FC9"/>
    <w:rsid w:val="00134AF8"/>
    <w:rsid w:val="0013633E"/>
    <w:rsid w:val="00136FE6"/>
    <w:rsid w:val="00140E1F"/>
    <w:rsid w:val="00143776"/>
    <w:rsid w:val="00144468"/>
    <w:rsid w:val="00147181"/>
    <w:rsid w:val="001473E3"/>
    <w:rsid w:val="00150DE0"/>
    <w:rsid w:val="00154247"/>
    <w:rsid w:val="0015622C"/>
    <w:rsid w:val="00157100"/>
    <w:rsid w:val="001608DA"/>
    <w:rsid w:val="001620C2"/>
    <w:rsid w:val="0016308F"/>
    <w:rsid w:val="0016317A"/>
    <w:rsid w:val="00165A31"/>
    <w:rsid w:val="00165C8D"/>
    <w:rsid w:val="001708A8"/>
    <w:rsid w:val="001710D3"/>
    <w:rsid w:val="00175001"/>
    <w:rsid w:val="00176140"/>
    <w:rsid w:val="001769F5"/>
    <w:rsid w:val="00176A7D"/>
    <w:rsid w:val="00181932"/>
    <w:rsid w:val="001834A5"/>
    <w:rsid w:val="00183AEB"/>
    <w:rsid w:val="00183C77"/>
    <w:rsid w:val="00185A1E"/>
    <w:rsid w:val="00187615"/>
    <w:rsid w:val="00193C04"/>
    <w:rsid w:val="00194219"/>
    <w:rsid w:val="00196652"/>
    <w:rsid w:val="001A0ED1"/>
    <w:rsid w:val="001A16F2"/>
    <w:rsid w:val="001A3102"/>
    <w:rsid w:val="001A36DD"/>
    <w:rsid w:val="001A575C"/>
    <w:rsid w:val="001A641F"/>
    <w:rsid w:val="001A6FC4"/>
    <w:rsid w:val="001B0175"/>
    <w:rsid w:val="001B01F3"/>
    <w:rsid w:val="001B0BA5"/>
    <w:rsid w:val="001B1410"/>
    <w:rsid w:val="001B1675"/>
    <w:rsid w:val="001B376C"/>
    <w:rsid w:val="001B4311"/>
    <w:rsid w:val="001B61D3"/>
    <w:rsid w:val="001B6341"/>
    <w:rsid w:val="001C2B2D"/>
    <w:rsid w:val="001C30BF"/>
    <w:rsid w:val="001C3E9C"/>
    <w:rsid w:val="001C5355"/>
    <w:rsid w:val="001C5B82"/>
    <w:rsid w:val="001C6057"/>
    <w:rsid w:val="001D0951"/>
    <w:rsid w:val="001D17F8"/>
    <w:rsid w:val="001D214D"/>
    <w:rsid w:val="001D2591"/>
    <w:rsid w:val="001D3675"/>
    <w:rsid w:val="001D3C83"/>
    <w:rsid w:val="001D7128"/>
    <w:rsid w:val="001E033C"/>
    <w:rsid w:val="001E0E59"/>
    <w:rsid w:val="001E5612"/>
    <w:rsid w:val="001E63B7"/>
    <w:rsid w:val="001E72FE"/>
    <w:rsid w:val="001E7891"/>
    <w:rsid w:val="001F26F3"/>
    <w:rsid w:val="001F30E1"/>
    <w:rsid w:val="001F5615"/>
    <w:rsid w:val="001F5723"/>
    <w:rsid w:val="001F590F"/>
    <w:rsid w:val="001F77C6"/>
    <w:rsid w:val="002002A8"/>
    <w:rsid w:val="0020124B"/>
    <w:rsid w:val="00201764"/>
    <w:rsid w:val="00201C4E"/>
    <w:rsid w:val="00201C61"/>
    <w:rsid w:val="0020373E"/>
    <w:rsid w:val="00203932"/>
    <w:rsid w:val="0020464E"/>
    <w:rsid w:val="00206608"/>
    <w:rsid w:val="002076A4"/>
    <w:rsid w:val="00207C78"/>
    <w:rsid w:val="00211F88"/>
    <w:rsid w:val="00212845"/>
    <w:rsid w:val="00213069"/>
    <w:rsid w:val="00215904"/>
    <w:rsid w:val="0021731C"/>
    <w:rsid w:val="00217874"/>
    <w:rsid w:val="00222A28"/>
    <w:rsid w:val="002234B1"/>
    <w:rsid w:val="00223D66"/>
    <w:rsid w:val="00224E02"/>
    <w:rsid w:val="00225104"/>
    <w:rsid w:val="00225EB0"/>
    <w:rsid w:val="002263DA"/>
    <w:rsid w:val="00227809"/>
    <w:rsid w:val="00227D1B"/>
    <w:rsid w:val="0023051E"/>
    <w:rsid w:val="00230560"/>
    <w:rsid w:val="00230705"/>
    <w:rsid w:val="00230DB4"/>
    <w:rsid w:val="00232AD8"/>
    <w:rsid w:val="0023378B"/>
    <w:rsid w:val="00233E31"/>
    <w:rsid w:val="002353A9"/>
    <w:rsid w:val="00237C8C"/>
    <w:rsid w:val="002447B2"/>
    <w:rsid w:val="00245961"/>
    <w:rsid w:val="00245AE8"/>
    <w:rsid w:val="00245D49"/>
    <w:rsid w:val="002467CB"/>
    <w:rsid w:val="002473F3"/>
    <w:rsid w:val="00247884"/>
    <w:rsid w:val="002510DE"/>
    <w:rsid w:val="00251D56"/>
    <w:rsid w:val="00251FD3"/>
    <w:rsid w:val="002568A2"/>
    <w:rsid w:val="00256CA6"/>
    <w:rsid w:val="00256F03"/>
    <w:rsid w:val="002578CA"/>
    <w:rsid w:val="00257A9C"/>
    <w:rsid w:val="00262E91"/>
    <w:rsid w:val="00263B1D"/>
    <w:rsid w:val="00265CAC"/>
    <w:rsid w:val="00266400"/>
    <w:rsid w:val="002675A8"/>
    <w:rsid w:val="00267B60"/>
    <w:rsid w:val="00273B65"/>
    <w:rsid w:val="00274BF2"/>
    <w:rsid w:val="002754A5"/>
    <w:rsid w:val="0028047F"/>
    <w:rsid w:val="00280907"/>
    <w:rsid w:val="00280984"/>
    <w:rsid w:val="00280D18"/>
    <w:rsid w:val="00282830"/>
    <w:rsid w:val="00283323"/>
    <w:rsid w:val="0028496F"/>
    <w:rsid w:val="002857F3"/>
    <w:rsid w:val="00290B15"/>
    <w:rsid w:val="00292A62"/>
    <w:rsid w:val="002A1911"/>
    <w:rsid w:val="002A1D5B"/>
    <w:rsid w:val="002A2D4A"/>
    <w:rsid w:val="002A48C4"/>
    <w:rsid w:val="002A56A1"/>
    <w:rsid w:val="002A5A50"/>
    <w:rsid w:val="002A6143"/>
    <w:rsid w:val="002A6782"/>
    <w:rsid w:val="002A7E2B"/>
    <w:rsid w:val="002B049D"/>
    <w:rsid w:val="002B1099"/>
    <w:rsid w:val="002B2587"/>
    <w:rsid w:val="002B297A"/>
    <w:rsid w:val="002B3CF6"/>
    <w:rsid w:val="002B427B"/>
    <w:rsid w:val="002B48AC"/>
    <w:rsid w:val="002B6011"/>
    <w:rsid w:val="002B621A"/>
    <w:rsid w:val="002B6F0B"/>
    <w:rsid w:val="002C0986"/>
    <w:rsid w:val="002C183E"/>
    <w:rsid w:val="002C33F0"/>
    <w:rsid w:val="002C3D53"/>
    <w:rsid w:val="002C4ABB"/>
    <w:rsid w:val="002C5B31"/>
    <w:rsid w:val="002C6497"/>
    <w:rsid w:val="002C6ABD"/>
    <w:rsid w:val="002D05E8"/>
    <w:rsid w:val="002D078B"/>
    <w:rsid w:val="002D3B4C"/>
    <w:rsid w:val="002D48F1"/>
    <w:rsid w:val="002D588A"/>
    <w:rsid w:val="002D5A3F"/>
    <w:rsid w:val="002D68A0"/>
    <w:rsid w:val="002D69E2"/>
    <w:rsid w:val="002E00DC"/>
    <w:rsid w:val="002E2A53"/>
    <w:rsid w:val="002E2CB4"/>
    <w:rsid w:val="002E3721"/>
    <w:rsid w:val="002E3CDF"/>
    <w:rsid w:val="002E5ED2"/>
    <w:rsid w:val="002E62FD"/>
    <w:rsid w:val="002F1E0F"/>
    <w:rsid w:val="002F1E32"/>
    <w:rsid w:val="002F226C"/>
    <w:rsid w:val="002F4096"/>
    <w:rsid w:val="002F4245"/>
    <w:rsid w:val="002F544D"/>
    <w:rsid w:val="002F549B"/>
    <w:rsid w:val="002F5A5E"/>
    <w:rsid w:val="002F63DB"/>
    <w:rsid w:val="002F6BBB"/>
    <w:rsid w:val="002F7C53"/>
    <w:rsid w:val="003015C4"/>
    <w:rsid w:val="00301F6E"/>
    <w:rsid w:val="00303E71"/>
    <w:rsid w:val="003054F3"/>
    <w:rsid w:val="00305768"/>
    <w:rsid w:val="0031009E"/>
    <w:rsid w:val="00310C42"/>
    <w:rsid w:val="00310E53"/>
    <w:rsid w:val="003129DC"/>
    <w:rsid w:val="00312BB1"/>
    <w:rsid w:val="00313329"/>
    <w:rsid w:val="00315476"/>
    <w:rsid w:val="00316A77"/>
    <w:rsid w:val="00316E92"/>
    <w:rsid w:val="003212BF"/>
    <w:rsid w:val="00322C12"/>
    <w:rsid w:val="00323015"/>
    <w:rsid w:val="003232EE"/>
    <w:rsid w:val="00325D56"/>
    <w:rsid w:val="00327CF0"/>
    <w:rsid w:val="003307D9"/>
    <w:rsid w:val="003317A0"/>
    <w:rsid w:val="00331B66"/>
    <w:rsid w:val="00331CCB"/>
    <w:rsid w:val="0033413C"/>
    <w:rsid w:val="003351C4"/>
    <w:rsid w:val="00340B1E"/>
    <w:rsid w:val="0034192A"/>
    <w:rsid w:val="00343E8E"/>
    <w:rsid w:val="00346BDD"/>
    <w:rsid w:val="00346E2C"/>
    <w:rsid w:val="003500CD"/>
    <w:rsid w:val="00350C51"/>
    <w:rsid w:val="003514FB"/>
    <w:rsid w:val="00352437"/>
    <w:rsid w:val="00352637"/>
    <w:rsid w:val="00352728"/>
    <w:rsid w:val="00352EF4"/>
    <w:rsid w:val="00353BB6"/>
    <w:rsid w:val="003540EE"/>
    <w:rsid w:val="00354E40"/>
    <w:rsid w:val="00355893"/>
    <w:rsid w:val="00356B56"/>
    <w:rsid w:val="00356ECD"/>
    <w:rsid w:val="003606D2"/>
    <w:rsid w:val="00365F61"/>
    <w:rsid w:val="003672F2"/>
    <w:rsid w:val="00367628"/>
    <w:rsid w:val="0037123C"/>
    <w:rsid w:val="003713D6"/>
    <w:rsid w:val="0037269B"/>
    <w:rsid w:val="00373E30"/>
    <w:rsid w:val="00376853"/>
    <w:rsid w:val="00376C47"/>
    <w:rsid w:val="003773BB"/>
    <w:rsid w:val="00377CFD"/>
    <w:rsid w:val="0038010C"/>
    <w:rsid w:val="00380EE6"/>
    <w:rsid w:val="003812B6"/>
    <w:rsid w:val="00381D45"/>
    <w:rsid w:val="003825DD"/>
    <w:rsid w:val="00382AAB"/>
    <w:rsid w:val="003832A2"/>
    <w:rsid w:val="003835B2"/>
    <w:rsid w:val="00383BF4"/>
    <w:rsid w:val="00383DCA"/>
    <w:rsid w:val="00384913"/>
    <w:rsid w:val="00385A15"/>
    <w:rsid w:val="00385C5A"/>
    <w:rsid w:val="00387865"/>
    <w:rsid w:val="003879C0"/>
    <w:rsid w:val="0039150D"/>
    <w:rsid w:val="00392732"/>
    <w:rsid w:val="0039342F"/>
    <w:rsid w:val="003937D3"/>
    <w:rsid w:val="00393A10"/>
    <w:rsid w:val="003942EC"/>
    <w:rsid w:val="00397F90"/>
    <w:rsid w:val="003A1A39"/>
    <w:rsid w:val="003A6534"/>
    <w:rsid w:val="003A75DF"/>
    <w:rsid w:val="003B0BFA"/>
    <w:rsid w:val="003B3832"/>
    <w:rsid w:val="003B3A95"/>
    <w:rsid w:val="003B3AF8"/>
    <w:rsid w:val="003B44CC"/>
    <w:rsid w:val="003B51A4"/>
    <w:rsid w:val="003B6D4C"/>
    <w:rsid w:val="003B7551"/>
    <w:rsid w:val="003C01E2"/>
    <w:rsid w:val="003C1119"/>
    <w:rsid w:val="003C146F"/>
    <w:rsid w:val="003C15F4"/>
    <w:rsid w:val="003C5613"/>
    <w:rsid w:val="003D10EB"/>
    <w:rsid w:val="003D23CD"/>
    <w:rsid w:val="003D2A16"/>
    <w:rsid w:val="003D36A1"/>
    <w:rsid w:val="003D4096"/>
    <w:rsid w:val="003D45A8"/>
    <w:rsid w:val="003E4355"/>
    <w:rsid w:val="003E7D03"/>
    <w:rsid w:val="003F1E98"/>
    <w:rsid w:val="003F2891"/>
    <w:rsid w:val="003F2B9F"/>
    <w:rsid w:val="003F3317"/>
    <w:rsid w:val="003F4530"/>
    <w:rsid w:val="003F5C8F"/>
    <w:rsid w:val="003F73BE"/>
    <w:rsid w:val="003F7465"/>
    <w:rsid w:val="00401518"/>
    <w:rsid w:val="00401E8D"/>
    <w:rsid w:val="00402340"/>
    <w:rsid w:val="00402E21"/>
    <w:rsid w:val="004109CE"/>
    <w:rsid w:val="00410C89"/>
    <w:rsid w:val="00412018"/>
    <w:rsid w:val="0041238E"/>
    <w:rsid w:val="00417BAE"/>
    <w:rsid w:val="0042297A"/>
    <w:rsid w:val="004239D0"/>
    <w:rsid w:val="004269BE"/>
    <w:rsid w:val="00430122"/>
    <w:rsid w:val="0043290D"/>
    <w:rsid w:val="00434280"/>
    <w:rsid w:val="00435479"/>
    <w:rsid w:val="00440FB7"/>
    <w:rsid w:val="0044121D"/>
    <w:rsid w:val="004439AB"/>
    <w:rsid w:val="00443F36"/>
    <w:rsid w:val="00445F27"/>
    <w:rsid w:val="00446DC6"/>
    <w:rsid w:val="004511DA"/>
    <w:rsid w:val="0045352F"/>
    <w:rsid w:val="00454745"/>
    <w:rsid w:val="004547CB"/>
    <w:rsid w:val="00454C68"/>
    <w:rsid w:val="0045508E"/>
    <w:rsid w:val="00455CCF"/>
    <w:rsid w:val="00455E23"/>
    <w:rsid w:val="00456B84"/>
    <w:rsid w:val="00457DA1"/>
    <w:rsid w:val="00466A7F"/>
    <w:rsid w:val="00466D79"/>
    <w:rsid w:val="00466FCD"/>
    <w:rsid w:val="004673E0"/>
    <w:rsid w:val="00467EA9"/>
    <w:rsid w:val="00471299"/>
    <w:rsid w:val="004731B0"/>
    <w:rsid w:val="00473744"/>
    <w:rsid w:val="00473831"/>
    <w:rsid w:val="00473DF8"/>
    <w:rsid w:val="00473E4C"/>
    <w:rsid w:val="00474105"/>
    <w:rsid w:val="004808B2"/>
    <w:rsid w:val="00480970"/>
    <w:rsid w:val="00482A72"/>
    <w:rsid w:val="00485D51"/>
    <w:rsid w:val="004862AB"/>
    <w:rsid w:val="00486BB1"/>
    <w:rsid w:val="00493F57"/>
    <w:rsid w:val="00495222"/>
    <w:rsid w:val="004A33A0"/>
    <w:rsid w:val="004A3751"/>
    <w:rsid w:val="004A44AE"/>
    <w:rsid w:val="004A5049"/>
    <w:rsid w:val="004A546D"/>
    <w:rsid w:val="004A5B9B"/>
    <w:rsid w:val="004A691A"/>
    <w:rsid w:val="004A6D86"/>
    <w:rsid w:val="004A6FE5"/>
    <w:rsid w:val="004B10DC"/>
    <w:rsid w:val="004B53CF"/>
    <w:rsid w:val="004B5966"/>
    <w:rsid w:val="004C05CE"/>
    <w:rsid w:val="004C62A0"/>
    <w:rsid w:val="004D2C45"/>
    <w:rsid w:val="004D3917"/>
    <w:rsid w:val="004D5F54"/>
    <w:rsid w:val="004D691D"/>
    <w:rsid w:val="004D6A93"/>
    <w:rsid w:val="004D7A14"/>
    <w:rsid w:val="004E0C5B"/>
    <w:rsid w:val="004E20A9"/>
    <w:rsid w:val="004E2131"/>
    <w:rsid w:val="004E2BF1"/>
    <w:rsid w:val="004E31E2"/>
    <w:rsid w:val="004E3391"/>
    <w:rsid w:val="004E3BFA"/>
    <w:rsid w:val="004E42DD"/>
    <w:rsid w:val="004E592D"/>
    <w:rsid w:val="004E68A0"/>
    <w:rsid w:val="004E70AA"/>
    <w:rsid w:val="004F1260"/>
    <w:rsid w:val="004F1331"/>
    <w:rsid w:val="004F2B15"/>
    <w:rsid w:val="004F2F75"/>
    <w:rsid w:val="004F4236"/>
    <w:rsid w:val="004F498C"/>
    <w:rsid w:val="004F65A8"/>
    <w:rsid w:val="004F6640"/>
    <w:rsid w:val="00501CAE"/>
    <w:rsid w:val="00502CDF"/>
    <w:rsid w:val="00505B99"/>
    <w:rsid w:val="005074A6"/>
    <w:rsid w:val="00510AE3"/>
    <w:rsid w:val="0051120B"/>
    <w:rsid w:val="00512CD7"/>
    <w:rsid w:val="00513C61"/>
    <w:rsid w:val="00516277"/>
    <w:rsid w:val="005173B2"/>
    <w:rsid w:val="00520049"/>
    <w:rsid w:val="005203F9"/>
    <w:rsid w:val="00520562"/>
    <w:rsid w:val="00522E8F"/>
    <w:rsid w:val="0052514A"/>
    <w:rsid w:val="005261B0"/>
    <w:rsid w:val="00527233"/>
    <w:rsid w:val="00527944"/>
    <w:rsid w:val="00531555"/>
    <w:rsid w:val="0053326D"/>
    <w:rsid w:val="00535957"/>
    <w:rsid w:val="005360AE"/>
    <w:rsid w:val="00537777"/>
    <w:rsid w:val="00541F83"/>
    <w:rsid w:val="0054509A"/>
    <w:rsid w:val="005474BC"/>
    <w:rsid w:val="00550667"/>
    <w:rsid w:val="00551956"/>
    <w:rsid w:val="005526B6"/>
    <w:rsid w:val="005530DB"/>
    <w:rsid w:val="00553185"/>
    <w:rsid w:val="00554E38"/>
    <w:rsid w:val="0055630C"/>
    <w:rsid w:val="0055643E"/>
    <w:rsid w:val="00561006"/>
    <w:rsid w:val="005633AF"/>
    <w:rsid w:val="00563E7C"/>
    <w:rsid w:val="00567E45"/>
    <w:rsid w:val="0057012B"/>
    <w:rsid w:val="00571D80"/>
    <w:rsid w:val="00571FC7"/>
    <w:rsid w:val="005732F9"/>
    <w:rsid w:val="0057349F"/>
    <w:rsid w:val="00573872"/>
    <w:rsid w:val="005755F1"/>
    <w:rsid w:val="00586AB7"/>
    <w:rsid w:val="00587353"/>
    <w:rsid w:val="00587A4E"/>
    <w:rsid w:val="0059007F"/>
    <w:rsid w:val="00590809"/>
    <w:rsid w:val="00591385"/>
    <w:rsid w:val="00591C78"/>
    <w:rsid w:val="0059464F"/>
    <w:rsid w:val="00594CA0"/>
    <w:rsid w:val="005A09F4"/>
    <w:rsid w:val="005A4C62"/>
    <w:rsid w:val="005A54AA"/>
    <w:rsid w:val="005A55D8"/>
    <w:rsid w:val="005A6024"/>
    <w:rsid w:val="005A69C4"/>
    <w:rsid w:val="005A747D"/>
    <w:rsid w:val="005A77F2"/>
    <w:rsid w:val="005B350E"/>
    <w:rsid w:val="005B3E33"/>
    <w:rsid w:val="005B444D"/>
    <w:rsid w:val="005C0EF1"/>
    <w:rsid w:val="005C2B7D"/>
    <w:rsid w:val="005C6DF8"/>
    <w:rsid w:val="005D0B56"/>
    <w:rsid w:val="005D124D"/>
    <w:rsid w:val="005D235A"/>
    <w:rsid w:val="005D2397"/>
    <w:rsid w:val="005D3B03"/>
    <w:rsid w:val="005D4635"/>
    <w:rsid w:val="005D4FA1"/>
    <w:rsid w:val="005D53BB"/>
    <w:rsid w:val="005D618E"/>
    <w:rsid w:val="005D6287"/>
    <w:rsid w:val="005E0036"/>
    <w:rsid w:val="005E2A9F"/>
    <w:rsid w:val="005E4085"/>
    <w:rsid w:val="005E45D8"/>
    <w:rsid w:val="005E5657"/>
    <w:rsid w:val="005E5E9E"/>
    <w:rsid w:val="005E6BFB"/>
    <w:rsid w:val="005F35C6"/>
    <w:rsid w:val="005F4F86"/>
    <w:rsid w:val="005F55F9"/>
    <w:rsid w:val="00601359"/>
    <w:rsid w:val="00601C33"/>
    <w:rsid w:val="00603532"/>
    <w:rsid w:val="00603FE4"/>
    <w:rsid w:val="006042CD"/>
    <w:rsid w:val="0060463F"/>
    <w:rsid w:val="00605888"/>
    <w:rsid w:val="006067F9"/>
    <w:rsid w:val="006126D0"/>
    <w:rsid w:val="00614B90"/>
    <w:rsid w:val="0061534B"/>
    <w:rsid w:val="006154FC"/>
    <w:rsid w:val="00616E6D"/>
    <w:rsid w:val="0062472A"/>
    <w:rsid w:val="00624852"/>
    <w:rsid w:val="00624FC0"/>
    <w:rsid w:val="00625666"/>
    <w:rsid w:val="006301C5"/>
    <w:rsid w:val="00631D8E"/>
    <w:rsid w:val="006326F9"/>
    <w:rsid w:val="00633973"/>
    <w:rsid w:val="006344C9"/>
    <w:rsid w:val="0063461E"/>
    <w:rsid w:val="00634FE2"/>
    <w:rsid w:val="0064148A"/>
    <w:rsid w:val="00641888"/>
    <w:rsid w:val="006420F7"/>
    <w:rsid w:val="00643B06"/>
    <w:rsid w:val="00644264"/>
    <w:rsid w:val="00644A91"/>
    <w:rsid w:val="00645568"/>
    <w:rsid w:val="00646079"/>
    <w:rsid w:val="00647D41"/>
    <w:rsid w:val="00650866"/>
    <w:rsid w:val="006523AF"/>
    <w:rsid w:val="00653B31"/>
    <w:rsid w:val="00656E2F"/>
    <w:rsid w:val="006607CB"/>
    <w:rsid w:val="00660E04"/>
    <w:rsid w:val="00662C02"/>
    <w:rsid w:val="00663B81"/>
    <w:rsid w:val="00663DB0"/>
    <w:rsid w:val="00667077"/>
    <w:rsid w:val="00670AA0"/>
    <w:rsid w:val="00670B7A"/>
    <w:rsid w:val="006769B2"/>
    <w:rsid w:val="006814BA"/>
    <w:rsid w:val="00681BF7"/>
    <w:rsid w:val="0068331B"/>
    <w:rsid w:val="006877E5"/>
    <w:rsid w:val="006906FD"/>
    <w:rsid w:val="006922E7"/>
    <w:rsid w:val="00692A15"/>
    <w:rsid w:val="006930A3"/>
    <w:rsid w:val="00694EDF"/>
    <w:rsid w:val="006A0E74"/>
    <w:rsid w:val="006A12A2"/>
    <w:rsid w:val="006A14D6"/>
    <w:rsid w:val="006A16B9"/>
    <w:rsid w:val="006A3F62"/>
    <w:rsid w:val="006A4322"/>
    <w:rsid w:val="006A505E"/>
    <w:rsid w:val="006A5AFD"/>
    <w:rsid w:val="006B547D"/>
    <w:rsid w:val="006B578C"/>
    <w:rsid w:val="006B7B48"/>
    <w:rsid w:val="006C08C2"/>
    <w:rsid w:val="006C14DC"/>
    <w:rsid w:val="006C166D"/>
    <w:rsid w:val="006C3740"/>
    <w:rsid w:val="006C461C"/>
    <w:rsid w:val="006C4D9B"/>
    <w:rsid w:val="006C5909"/>
    <w:rsid w:val="006C5CB8"/>
    <w:rsid w:val="006C60E3"/>
    <w:rsid w:val="006C7658"/>
    <w:rsid w:val="006D017F"/>
    <w:rsid w:val="006D41B8"/>
    <w:rsid w:val="006D6B0D"/>
    <w:rsid w:val="006D6E81"/>
    <w:rsid w:val="006D7B4F"/>
    <w:rsid w:val="006E21D4"/>
    <w:rsid w:val="006E2479"/>
    <w:rsid w:val="006E2628"/>
    <w:rsid w:val="006E300C"/>
    <w:rsid w:val="006E32D9"/>
    <w:rsid w:val="006E41B2"/>
    <w:rsid w:val="006E4775"/>
    <w:rsid w:val="006E5AD2"/>
    <w:rsid w:val="006E5EDE"/>
    <w:rsid w:val="006E6B98"/>
    <w:rsid w:val="006F0B8A"/>
    <w:rsid w:val="006F35BA"/>
    <w:rsid w:val="006F3CFF"/>
    <w:rsid w:val="006F6013"/>
    <w:rsid w:val="00701154"/>
    <w:rsid w:val="00701262"/>
    <w:rsid w:val="00702C15"/>
    <w:rsid w:val="007053C6"/>
    <w:rsid w:val="0070597C"/>
    <w:rsid w:val="00706401"/>
    <w:rsid w:val="00711984"/>
    <w:rsid w:val="00711C44"/>
    <w:rsid w:val="00712E7C"/>
    <w:rsid w:val="0071350B"/>
    <w:rsid w:val="0071362F"/>
    <w:rsid w:val="00713AC9"/>
    <w:rsid w:val="00713CFF"/>
    <w:rsid w:val="00714F83"/>
    <w:rsid w:val="007159D1"/>
    <w:rsid w:val="00715B61"/>
    <w:rsid w:val="00717032"/>
    <w:rsid w:val="00717382"/>
    <w:rsid w:val="007209B6"/>
    <w:rsid w:val="007217B6"/>
    <w:rsid w:val="0072253D"/>
    <w:rsid w:val="00726D90"/>
    <w:rsid w:val="0072733E"/>
    <w:rsid w:val="00732BEF"/>
    <w:rsid w:val="0073509C"/>
    <w:rsid w:val="00736A13"/>
    <w:rsid w:val="00736C7F"/>
    <w:rsid w:val="00737485"/>
    <w:rsid w:val="0074267F"/>
    <w:rsid w:val="00743586"/>
    <w:rsid w:val="007441B6"/>
    <w:rsid w:val="00744232"/>
    <w:rsid w:val="00744677"/>
    <w:rsid w:val="00744784"/>
    <w:rsid w:val="007451AB"/>
    <w:rsid w:val="00745623"/>
    <w:rsid w:val="00745969"/>
    <w:rsid w:val="007514A5"/>
    <w:rsid w:val="00751A64"/>
    <w:rsid w:val="00756C8B"/>
    <w:rsid w:val="00756F09"/>
    <w:rsid w:val="00760AF6"/>
    <w:rsid w:val="00761B2E"/>
    <w:rsid w:val="00761DBC"/>
    <w:rsid w:val="00766EBD"/>
    <w:rsid w:val="007671E8"/>
    <w:rsid w:val="00767214"/>
    <w:rsid w:val="00767FA1"/>
    <w:rsid w:val="00770B07"/>
    <w:rsid w:val="007737FD"/>
    <w:rsid w:val="007749D4"/>
    <w:rsid w:val="00774BD6"/>
    <w:rsid w:val="00775BAF"/>
    <w:rsid w:val="007809D5"/>
    <w:rsid w:val="007823B3"/>
    <w:rsid w:val="00782CAE"/>
    <w:rsid w:val="00783268"/>
    <w:rsid w:val="00784F69"/>
    <w:rsid w:val="00790EE4"/>
    <w:rsid w:val="00791B65"/>
    <w:rsid w:val="00792B1D"/>
    <w:rsid w:val="00792CA2"/>
    <w:rsid w:val="00792F49"/>
    <w:rsid w:val="00793B1C"/>
    <w:rsid w:val="007940BF"/>
    <w:rsid w:val="00796A3D"/>
    <w:rsid w:val="00796ED6"/>
    <w:rsid w:val="00797AAC"/>
    <w:rsid w:val="007A172D"/>
    <w:rsid w:val="007A190C"/>
    <w:rsid w:val="007A295E"/>
    <w:rsid w:val="007A38B6"/>
    <w:rsid w:val="007A4D69"/>
    <w:rsid w:val="007A55C8"/>
    <w:rsid w:val="007A793C"/>
    <w:rsid w:val="007B3E6E"/>
    <w:rsid w:val="007B490E"/>
    <w:rsid w:val="007B4976"/>
    <w:rsid w:val="007B6372"/>
    <w:rsid w:val="007B6F40"/>
    <w:rsid w:val="007C0CE9"/>
    <w:rsid w:val="007C1745"/>
    <w:rsid w:val="007C18FB"/>
    <w:rsid w:val="007C268A"/>
    <w:rsid w:val="007C2E2F"/>
    <w:rsid w:val="007C3443"/>
    <w:rsid w:val="007C3B7F"/>
    <w:rsid w:val="007C5B3B"/>
    <w:rsid w:val="007C6CDE"/>
    <w:rsid w:val="007C725E"/>
    <w:rsid w:val="007D102F"/>
    <w:rsid w:val="007D1A97"/>
    <w:rsid w:val="007D2763"/>
    <w:rsid w:val="007D2BB9"/>
    <w:rsid w:val="007D3418"/>
    <w:rsid w:val="007D3C22"/>
    <w:rsid w:val="007D5431"/>
    <w:rsid w:val="007D54DE"/>
    <w:rsid w:val="007E4350"/>
    <w:rsid w:val="007E4437"/>
    <w:rsid w:val="007E7420"/>
    <w:rsid w:val="007E745B"/>
    <w:rsid w:val="007E759F"/>
    <w:rsid w:val="007E785D"/>
    <w:rsid w:val="007F18AE"/>
    <w:rsid w:val="007F590B"/>
    <w:rsid w:val="007F6F82"/>
    <w:rsid w:val="007F7EF0"/>
    <w:rsid w:val="0080012D"/>
    <w:rsid w:val="00800912"/>
    <w:rsid w:val="0080117C"/>
    <w:rsid w:val="008011DF"/>
    <w:rsid w:val="008013D8"/>
    <w:rsid w:val="00801470"/>
    <w:rsid w:val="0080290A"/>
    <w:rsid w:val="00802BD0"/>
    <w:rsid w:val="00803E5D"/>
    <w:rsid w:val="00804F7F"/>
    <w:rsid w:val="00805C00"/>
    <w:rsid w:val="00806B5B"/>
    <w:rsid w:val="00806D7D"/>
    <w:rsid w:val="008075DD"/>
    <w:rsid w:val="00812590"/>
    <w:rsid w:val="00812B9D"/>
    <w:rsid w:val="0081495B"/>
    <w:rsid w:val="008149C7"/>
    <w:rsid w:val="00815E84"/>
    <w:rsid w:val="00816070"/>
    <w:rsid w:val="008160DB"/>
    <w:rsid w:val="00822050"/>
    <w:rsid w:val="008223FC"/>
    <w:rsid w:val="00823193"/>
    <w:rsid w:val="008232C3"/>
    <w:rsid w:val="0082385D"/>
    <w:rsid w:val="00825781"/>
    <w:rsid w:val="008303C1"/>
    <w:rsid w:val="00831204"/>
    <w:rsid w:val="0083236E"/>
    <w:rsid w:val="0083796E"/>
    <w:rsid w:val="00837B63"/>
    <w:rsid w:val="0084071B"/>
    <w:rsid w:val="008419DC"/>
    <w:rsid w:val="00842746"/>
    <w:rsid w:val="008431E1"/>
    <w:rsid w:val="0084530F"/>
    <w:rsid w:val="00845757"/>
    <w:rsid w:val="00846D5C"/>
    <w:rsid w:val="0085049D"/>
    <w:rsid w:val="008504AD"/>
    <w:rsid w:val="00851E22"/>
    <w:rsid w:val="00852A98"/>
    <w:rsid w:val="00853845"/>
    <w:rsid w:val="00853E46"/>
    <w:rsid w:val="00854BA4"/>
    <w:rsid w:val="00854C0B"/>
    <w:rsid w:val="00860764"/>
    <w:rsid w:val="0086078F"/>
    <w:rsid w:val="00861655"/>
    <w:rsid w:val="00862B3A"/>
    <w:rsid w:val="0086359F"/>
    <w:rsid w:val="00863C56"/>
    <w:rsid w:val="00866266"/>
    <w:rsid w:val="0087009A"/>
    <w:rsid w:val="00871455"/>
    <w:rsid w:val="0087409D"/>
    <w:rsid w:val="00874C74"/>
    <w:rsid w:val="0087559F"/>
    <w:rsid w:val="0087670A"/>
    <w:rsid w:val="008770F5"/>
    <w:rsid w:val="008800F4"/>
    <w:rsid w:val="00880870"/>
    <w:rsid w:val="008820E3"/>
    <w:rsid w:val="00883BAE"/>
    <w:rsid w:val="00884D1C"/>
    <w:rsid w:val="008862B1"/>
    <w:rsid w:val="00890B67"/>
    <w:rsid w:val="00890FCE"/>
    <w:rsid w:val="00893429"/>
    <w:rsid w:val="008934C0"/>
    <w:rsid w:val="00894207"/>
    <w:rsid w:val="008952BD"/>
    <w:rsid w:val="0089601A"/>
    <w:rsid w:val="00896CA7"/>
    <w:rsid w:val="008A0090"/>
    <w:rsid w:val="008A0A6F"/>
    <w:rsid w:val="008A34B0"/>
    <w:rsid w:val="008A365C"/>
    <w:rsid w:val="008A6D4C"/>
    <w:rsid w:val="008B01A4"/>
    <w:rsid w:val="008B038F"/>
    <w:rsid w:val="008B32F3"/>
    <w:rsid w:val="008B40FF"/>
    <w:rsid w:val="008B5CCB"/>
    <w:rsid w:val="008B784B"/>
    <w:rsid w:val="008B78E2"/>
    <w:rsid w:val="008B7F25"/>
    <w:rsid w:val="008C07BF"/>
    <w:rsid w:val="008C17DB"/>
    <w:rsid w:val="008C3192"/>
    <w:rsid w:val="008C339C"/>
    <w:rsid w:val="008C375E"/>
    <w:rsid w:val="008C44EB"/>
    <w:rsid w:val="008C6166"/>
    <w:rsid w:val="008C6D37"/>
    <w:rsid w:val="008C6D93"/>
    <w:rsid w:val="008D2C25"/>
    <w:rsid w:val="008D2C7A"/>
    <w:rsid w:val="008D69C7"/>
    <w:rsid w:val="008E1D25"/>
    <w:rsid w:val="008E20A3"/>
    <w:rsid w:val="008E2901"/>
    <w:rsid w:val="008E2953"/>
    <w:rsid w:val="008E2F59"/>
    <w:rsid w:val="008E3902"/>
    <w:rsid w:val="008E3F96"/>
    <w:rsid w:val="008E70DB"/>
    <w:rsid w:val="008F0A3F"/>
    <w:rsid w:val="008F2D42"/>
    <w:rsid w:val="008F3950"/>
    <w:rsid w:val="008F4ABE"/>
    <w:rsid w:val="00900796"/>
    <w:rsid w:val="009012DB"/>
    <w:rsid w:val="00901A47"/>
    <w:rsid w:val="009024C6"/>
    <w:rsid w:val="0090613B"/>
    <w:rsid w:val="00910B62"/>
    <w:rsid w:val="00910DE0"/>
    <w:rsid w:val="00910FD8"/>
    <w:rsid w:val="0091104D"/>
    <w:rsid w:val="00911576"/>
    <w:rsid w:val="009127BB"/>
    <w:rsid w:val="009146F4"/>
    <w:rsid w:val="00920032"/>
    <w:rsid w:val="0092261F"/>
    <w:rsid w:val="00923A68"/>
    <w:rsid w:val="00925258"/>
    <w:rsid w:val="00925CDF"/>
    <w:rsid w:val="009263AC"/>
    <w:rsid w:val="00927449"/>
    <w:rsid w:val="00932176"/>
    <w:rsid w:val="00932642"/>
    <w:rsid w:val="00935DD6"/>
    <w:rsid w:val="009368E3"/>
    <w:rsid w:val="00941B1E"/>
    <w:rsid w:val="00942E3F"/>
    <w:rsid w:val="00946722"/>
    <w:rsid w:val="009502C2"/>
    <w:rsid w:val="00950A8E"/>
    <w:rsid w:val="0095129F"/>
    <w:rsid w:val="0095159F"/>
    <w:rsid w:val="00951726"/>
    <w:rsid w:val="00954280"/>
    <w:rsid w:val="00960461"/>
    <w:rsid w:val="0096091B"/>
    <w:rsid w:val="009634FF"/>
    <w:rsid w:val="00963754"/>
    <w:rsid w:val="00963BE1"/>
    <w:rsid w:val="00964855"/>
    <w:rsid w:val="00964D5F"/>
    <w:rsid w:val="00965632"/>
    <w:rsid w:val="0097014F"/>
    <w:rsid w:val="009708EE"/>
    <w:rsid w:val="00971C70"/>
    <w:rsid w:val="00972B69"/>
    <w:rsid w:val="009744EA"/>
    <w:rsid w:val="0097511F"/>
    <w:rsid w:val="009763A9"/>
    <w:rsid w:val="00977446"/>
    <w:rsid w:val="00977D2D"/>
    <w:rsid w:val="0098013C"/>
    <w:rsid w:val="00980DB8"/>
    <w:rsid w:val="009850F0"/>
    <w:rsid w:val="00986CE2"/>
    <w:rsid w:val="00987F4F"/>
    <w:rsid w:val="00990B99"/>
    <w:rsid w:val="009917DA"/>
    <w:rsid w:val="00993D82"/>
    <w:rsid w:val="00994309"/>
    <w:rsid w:val="00995396"/>
    <w:rsid w:val="009968FB"/>
    <w:rsid w:val="009A468D"/>
    <w:rsid w:val="009A557B"/>
    <w:rsid w:val="009A637D"/>
    <w:rsid w:val="009B3012"/>
    <w:rsid w:val="009B46B8"/>
    <w:rsid w:val="009B5C20"/>
    <w:rsid w:val="009B7C2C"/>
    <w:rsid w:val="009B7D6E"/>
    <w:rsid w:val="009C2A5C"/>
    <w:rsid w:val="009C40C1"/>
    <w:rsid w:val="009C6083"/>
    <w:rsid w:val="009C6B56"/>
    <w:rsid w:val="009C6C37"/>
    <w:rsid w:val="009C775A"/>
    <w:rsid w:val="009D093A"/>
    <w:rsid w:val="009D1573"/>
    <w:rsid w:val="009D16BB"/>
    <w:rsid w:val="009D1998"/>
    <w:rsid w:val="009D497B"/>
    <w:rsid w:val="009D5067"/>
    <w:rsid w:val="009D5157"/>
    <w:rsid w:val="009D65CE"/>
    <w:rsid w:val="009D698F"/>
    <w:rsid w:val="009D6A4C"/>
    <w:rsid w:val="009D6AF8"/>
    <w:rsid w:val="009D71F1"/>
    <w:rsid w:val="009D7912"/>
    <w:rsid w:val="009E0AE9"/>
    <w:rsid w:val="009E2065"/>
    <w:rsid w:val="009E2A28"/>
    <w:rsid w:val="009E2C60"/>
    <w:rsid w:val="009E2F81"/>
    <w:rsid w:val="009E4057"/>
    <w:rsid w:val="009E5320"/>
    <w:rsid w:val="009E746C"/>
    <w:rsid w:val="009F033F"/>
    <w:rsid w:val="009F08F1"/>
    <w:rsid w:val="009F583D"/>
    <w:rsid w:val="009F614D"/>
    <w:rsid w:val="009F687F"/>
    <w:rsid w:val="009F7472"/>
    <w:rsid w:val="009F76F7"/>
    <w:rsid w:val="00A00208"/>
    <w:rsid w:val="00A0045F"/>
    <w:rsid w:val="00A01EBA"/>
    <w:rsid w:val="00A0226E"/>
    <w:rsid w:val="00A022CE"/>
    <w:rsid w:val="00A02441"/>
    <w:rsid w:val="00A03168"/>
    <w:rsid w:val="00A0633F"/>
    <w:rsid w:val="00A06571"/>
    <w:rsid w:val="00A06EC3"/>
    <w:rsid w:val="00A070D7"/>
    <w:rsid w:val="00A07F04"/>
    <w:rsid w:val="00A11091"/>
    <w:rsid w:val="00A11766"/>
    <w:rsid w:val="00A13265"/>
    <w:rsid w:val="00A13C50"/>
    <w:rsid w:val="00A13D14"/>
    <w:rsid w:val="00A145A7"/>
    <w:rsid w:val="00A155A8"/>
    <w:rsid w:val="00A16C9F"/>
    <w:rsid w:val="00A2117F"/>
    <w:rsid w:val="00A21549"/>
    <w:rsid w:val="00A21E45"/>
    <w:rsid w:val="00A23187"/>
    <w:rsid w:val="00A235EC"/>
    <w:rsid w:val="00A236C9"/>
    <w:rsid w:val="00A2527F"/>
    <w:rsid w:val="00A2572A"/>
    <w:rsid w:val="00A26413"/>
    <w:rsid w:val="00A26DDB"/>
    <w:rsid w:val="00A27F53"/>
    <w:rsid w:val="00A31E84"/>
    <w:rsid w:val="00A323D5"/>
    <w:rsid w:val="00A32A9D"/>
    <w:rsid w:val="00A32F7D"/>
    <w:rsid w:val="00A343D2"/>
    <w:rsid w:val="00A367AC"/>
    <w:rsid w:val="00A36C7A"/>
    <w:rsid w:val="00A41650"/>
    <w:rsid w:val="00A4400F"/>
    <w:rsid w:val="00A451E8"/>
    <w:rsid w:val="00A45CCF"/>
    <w:rsid w:val="00A46CA5"/>
    <w:rsid w:val="00A4751A"/>
    <w:rsid w:val="00A5002C"/>
    <w:rsid w:val="00A50642"/>
    <w:rsid w:val="00A51693"/>
    <w:rsid w:val="00A53461"/>
    <w:rsid w:val="00A55D47"/>
    <w:rsid w:val="00A56A2F"/>
    <w:rsid w:val="00A572E8"/>
    <w:rsid w:val="00A574A1"/>
    <w:rsid w:val="00A60000"/>
    <w:rsid w:val="00A61A2F"/>
    <w:rsid w:val="00A63C62"/>
    <w:rsid w:val="00A641F9"/>
    <w:rsid w:val="00A6437F"/>
    <w:rsid w:val="00A708A1"/>
    <w:rsid w:val="00A71871"/>
    <w:rsid w:val="00A73EB7"/>
    <w:rsid w:val="00A74E36"/>
    <w:rsid w:val="00A75BB6"/>
    <w:rsid w:val="00A75C4A"/>
    <w:rsid w:val="00A77016"/>
    <w:rsid w:val="00A824A1"/>
    <w:rsid w:val="00A827E8"/>
    <w:rsid w:val="00A84036"/>
    <w:rsid w:val="00A860E0"/>
    <w:rsid w:val="00A86838"/>
    <w:rsid w:val="00A91E98"/>
    <w:rsid w:val="00A921AB"/>
    <w:rsid w:val="00A93389"/>
    <w:rsid w:val="00A95F27"/>
    <w:rsid w:val="00A96C1C"/>
    <w:rsid w:val="00AA29A6"/>
    <w:rsid w:val="00AA2C11"/>
    <w:rsid w:val="00AA35D1"/>
    <w:rsid w:val="00AA35E2"/>
    <w:rsid w:val="00AA5803"/>
    <w:rsid w:val="00AA79AB"/>
    <w:rsid w:val="00AA7FB7"/>
    <w:rsid w:val="00AB1622"/>
    <w:rsid w:val="00AB1CC3"/>
    <w:rsid w:val="00AB3B28"/>
    <w:rsid w:val="00AB3F7E"/>
    <w:rsid w:val="00AB5079"/>
    <w:rsid w:val="00AB5C8A"/>
    <w:rsid w:val="00AB67A7"/>
    <w:rsid w:val="00AC23DB"/>
    <w:rsid w:val="00AC4BD6"/>
    <w:rsid w:val="00AC56A7"/>
    <w:rsid w:val="00AC68BD"/>
    <w:rsid w:val="00AC6C8D"/>
    <w:rsid w:val="00AD092D"/>
    <w:rsid w:val="00AD21DF"/>
    <w:rsid w:val="00AD4870"/>
    <w:rsid w:val="00AD59CA"/>
    <w:rsid w:val="00AD5D1A"/>
    <w:rsid w:val="00AD67E9"/>
    <w:rsid w:val="00AD7187"/>
    <w:rsid w:val="00AE10C8"/>
    <w:rsid w:val="00AE3439"/>
    <w:rsid w:val="00AE3891"/>
    <w:rsid w:val="00AE3A98"/>
    <w:rsid w:val="00AE5438"/>
    <w:rsid w:val="00AE5961"/>
    <w:rsid w:val="00AE5E01"/>
    <w:rsid w:val="00AE75EE"/>
    <w:rsid w:val="00AE792C"/>
    <w:rsid w:val="00AE7CCD"/>
    <w:rsid w:val="00AE7CE2"/>
    <w:rsid w:val="00AF0814"/>
    <w:rsid w:val="00AF0894"/>
    <w:rsid w:val="00AF096C"/>
    <w:rsid w:val="00AF1F06"/>
    <w:rsid w:val="00AF3040"/>
    <w:rsid w:val="00AF52CB"/>
    <w:rsid w:val="00AF69C0"/>
    <w:rsid w:val="00AF70D4"/>
    <w:rsid w:val="00B000B4"/>
    <w:rsid w:val="00B002A8"/>
    <w:rsid w:val="00B01C03"/>
    <w:rsid w:val="00B0346B"/>
    <w:rsid w:val="00B05639"/>
    <w:rsid w:val="00B05958"/>
    <w:rsid w:val="00B064AE"/>
    <w:rsid w:val="00B06652"/>
    <w:rsid w:val="00B07D67"/>
    <w:rsid w:val="00B07DEF"/>
    <w:rsid w:val="00B1243A"/>
    <w:rsid w:val="00B12C1C"/>
    <w:rsid w:val="00B1346E"/>
    <w:rsid w:val="00B15811"/>
    <w:rsid w:val="00B15827"/>
    <w:rsid w:val="00B15FF0"/>
    <w:rsid w:val="00B16799"/>
    <w:rsid w:val="00B1686F"/>
    <w:rsid w:val="00B171E8"/>
    <w:rsid w:val="00B1748F"/>
    <w:rsid w:val="00B1756A"/>
    <w:rsid w:val="00B22C35"/>
    <w:rsid w:val="00B23B1C"/>
    <w:rsid w:val="00B2474A"/>
    <w:rsid w:val="00B247EF"/>
    <w:rsid w:val="00B24BB6"/>
    <w:rsid w:val="00B30561"/>
    <w:rsid w:val="00B31AB5"/>
    <w:rsid w:val="00B31C8C"/>
    <w:rsid w:val="00B32D03"/>
    <w:rsid w:val="00B334A7"/>
    <w:rsid w:val="00B347F0"/>
    <w:rsid w:val="00B34FE6"/>
    <w:rsid w:val="00B37D91"/>
    <w:rsid w:val="00B40095"/>
    <w:rsid w:val="00B41FD1"/>
    <w:rsid w:val="00B436C5"/>
    <w:rsid w:val="00B43B56"/>
    <w:rsid w:val="00B43E6A"/>
    <w:rsid w:val="00B44DDD"/>
    <w:rsid w:val="00B45BB7"/>
    <w:rsid w:val="00B4676C"/>
    <w:rsid w:val="00B4687D"/>
    <w:rsid w:val="00B47029"/>
    <w:rsid w:val="00B51608"/>
    <w:rsid w:val="00B52939"/>
    <w:rsid w:val="00B52E7A"/>
    <w:rsid w:val="00B53FBE"/>
    <w:rsid w:val="00B54C98"/>
    <w:rsid w:val="00B555D0"/>
    <w:rsid w:val="00B609D9"/>
    <w:rsid w:val="00B61DEB"/>
    <w:rsid w:val="00B61ECB"/>
    <w:rsid w:val="00B62749"/>
    <w:rsid w:val="00B64036"/>
    <w:rsid w:val="00B644FA"/>
    <w:rsid w:val="00B652AB"/>
    <w:rsid w:val="00B65EEF"/>
    <w:rsid w:val="00B66319"/>
    <w:rsid w:val="00B6664D"/>
    <w:rsid w:val="00B7011B"/>
    <w:rsid w:val="00B70A5E"/>
    <w:rsid w:val="00B71C81"/>
    <w:rsid w:val="00B72092"/>
    <w:rsid w:val="00B72315"/>
    <w:rsid w:val="00B742C1"/>
    <w:rsid w:val="00B74B6C"/>
    <w:rsid w:val="00B75C28"/>
    <w:rsid w:val="00B76435"/>
    <w:rsid w:val="00B76FE4"/>
    <w:rsid w:val="00B77E3E"/>
    <w:rsid w:val="00B81E8A"/>
    <w:rsid w:val="00B846D2"/>
    <w:rsid w:val="00B84B1E"/>
    <w:rsid w:val="00B87E05"/>
    <w:rsid w:val="00B93793"/>
    <w:rsid w:val="00B9497F"/>
    <w:rsid w:val="00B94C8A"/>
    <w:rsid w:val="00B96C69"/>
    <w:rsid w:val="00B979FD"/>
    <w:rsid w:val="00BA072F"/>
    <w:rsid w:val="00BA1420"/>
    <w:rsid w:val="00BA5E24"/>
    <w:rsid w:val="00BA66C9"/>
    <w:rsid w:val="00BA720F"/>
    <w:rsid w:val="00BB116B"/>
    <w:rsid w:val="00BB3B57"/>
    <w:rsid w:val="00BC0031"/>
    <w:rsid w:val="00BC1A6F"/>
    <w:rsid w:val="00BC1CA8"/>
    <w:rsid w:val="00BC309B"/>
    <w:rsid w:val="00BC3995"/>
    <w:rsid w:val="00BC42F8"/>
    <w:rsid w:val="00BC4AB2"/>
    <w:rsid w:val="00BC575D"/>
    <w:rsid w:val="00BC72AC"/>
    <w:rsid w:val="00BC7EF3"/>
    <w:rsid w:val="00BD053D"/>
    <w:rsid w:val="00BD159C"/>
    <w:rsid w:val="00BD2430"/>
    <w:rsid w:val="00BD61EE"/>
    <w:rsid w:val="00BE05B0"/>
    <w:rsid w:val="00BE0E61"/>
    <w:rsid w:val="00BE14E2"/>
    <w:rsid w:val="00BE3C3E"/>
    <w:rsid w:val="00BE3F87"/>
    <w:rsid w:val="00BE502C"/>
    <w:rsid w:val="00BE5125"/>
    <w:rsid w:val="00BE58C7"/>
    <w:rsid w:val="00BE6F36"/>
    <w:rsid w:val="00BF00DA"/>
    <w:rsid w:val="00BF03AA"/>
    <w:rsid w:val="00BF0745"/>
    <w:rsid w:val="00BF2AB9"/>
    <w:rsid w:val="00BF33D0"/>
    <w:rsid w:val="00BF386F"/>
    <w:rsid w:val="00BF442C"/>
    <w:rsid w:val="00BF472F"/>
    <w:rsid w:val="00BF4A4B"/>
    <w:rsid w:val="00BF4DAA"/>
    <w:rsid w:val="00BF5A47"/>
    <w:rsid w:val="00BF63F7"/>
    <w:rsid w:val="00BF6D22"/>
    <w:rsid w:val="00C0070A"/>
    <w:rsid w:val="00C0148D"/>
    <w:rsid w:val="00C01836"/>
    <w:rsid w:val="00C02D1E"/>
    <w:rsid w:val="00C03C17"/>
    <w:rsid w:val="00C03F70"/>
    <w:rsid w:val="00C05302"/>
    <w:rsid w:val="00C05757"/>
    <w:rsid w:val="00C073E9"/>
    <w:rsid w:val="00C124DA"/>
    <w:rsid w:val="00C13AC9"/>
    <w:rsid w:val="00C14579"/>
    <w:rsid w:val="00C145F2"/>
    <w:rsid w:val="00C14700"/>
    <w:rsid w:val="00C20C93"/>
    <w:rsid w:val="00C20D72"/>
    <w:rsid w:val="00C20F96"/>
    <w:rsid w:val="00C2403D"/>
    <w:rsid w:val="00C24318"/>
    <w:rsid w:val="00C244EB"/>
    <w:rsid w:val="00C24856"/>
    <w:rsid w:val="00C33025"/>
    <w:rsid w:val="00C333F7"/>
    <w:rsid w:val="00C336C2"/>
    <w:rsid w:val="00C34759"/>
    <w:rsid w:val="00C35D62"/>
    <w:rsid w:val="00C3609D"/>
    <w:rsid w:val="00C44A86"/>
    <w:rsid w:val="00C44AE0"/>
    <w:rsid w:val="00C46270"/>
    <w:rsid w:val="00C46C74"/>
    <w:rsid w:val="00C47A68"/>
    <w:rsid w:val="00C503B6"/>
    <w:rsid w:val="00C50CAE"/>
    <w:rsid w:val="00C511F1"/>
    <w:rsid w:val="00C52948"/>
    <w:rsid w:val="00C53219"/>
    <w:rsid w:val="00C534D2"/>
    <w:rsid w:val="00C5392D"/>
    <w:rsid w:val="00C55D35"/>
    <w:rsid w:val="00C55F0D"/>
    <w:rsid w:val="00C561D1"/>
    <w:rsid w:val="00C60A8F"/>
    <w:rsid w:val="00C6173F"/>
    <w:rsid w:val="00C623D4"/>
    <w:rsid w:val="00C624BA"/>
    <w:rsid w:val="00C65107"/>
    <w:rsid w:val="00C65BBE"/>
    <w:rsid w:val="00C6773A"/>
    <w:rsid w:val="00C737BD"/>
    <w:rsid w:val="00C74F45"/>
    <w:rsid w:val="00C76354"/>
    <w:rsid w:val="00C767FC"/>
    <w:rsid w:val="00C76B65"/>
    <w:rsid w:val="00C77225"/>
    <w:rsid w:val="00C77526"/>
    <w:rsid w:val="00C778EF"/>
    <w:rsid w:val="00C8083B"/>
    <w:rsid w:val="00C80AF5"/>
    <w:rsid w:val="00C813C1"/>
    <w:rsid w:val="00C82B93"/>
    <w:rsid w:val="00C85E78"/>
    <w:rsid w:val="00C873C6"/>
    <w:rsid w:val="00C87513"/>
    <w:rsid w:val="00C918D5"/>
    <w:rsid w:val="00C93486"/>
    <w:rsid w:val="00C93552"/>
    <w:rsid w:val="00C93DC4"/>
    <w:rsid w:val="00C94C5F"/>
    <w:rsid w:val="00C9527C"/>
    <w:rsid w:val="00C977C2"/>
    <w:rsid w:val="00CA0888"/>
    <w:rsid w:val="00CA40B9"/>
    <w:rsid w:val="00CA4CE1"/>
    <w:rsid w:val="00CA4E3E"/>
    <w:rsid w:val="00CA6031"/>
    <w:rsid w:val="00CB0C2D"/>
    <w:rsid w:val="00CB1EB6"/>
    <w:rsid w:val="00CB1F20"/>
    <w:rsid w:val="00CB36BA"/>
    <w:rsid w:val="00CB3789"/>
    <w:rsid w:val="00CB759D"/>
    <w:rsid w:val="00CC01CA"/>
    <w:rsid w:val="00CC0739"/>
    <w:rsid w:val="00CC0FEF"/>
    <w:rsid w:val="00CC2347"/>
    <w:rsid w:val="00CC287D"/>
    <w:rsid w:val="00CC2C6C"/>
    <w:rsid w:val="00CC3121"/>
    <w:rsid w:val="00CC31F1"/>
    <w:rsid w:val="00CC631E"/>
    <w:rsid w:val="00CC6D58"/>
    <w:rsid w:val="00CD04D8"/>
    <w:rsid w:val="00CD1E9B"/>
    <w:rsid w:val="00CD3EC7"/>
    <w:rsid w:val="00CD5B30"/>
    <w:rsid w:val="00CD5BD7"/>
    <w:rsid w:val="00CE1164"/>
    <w:rsid w:val="00CE45C4"/>
    <w:rsid w:val="00CE5A78"/>
    <w:rsid w:val="00CE69D3"/>
    <w:rsid w:val="00CF09AF"/>
    <w:rsid w:val="00CF0C1C"/>
    <w:rsid w:val="00CF189E"/>
    <w:rsid w:val="00CF21C0"/>
    <w:rsid w:val="00CF3BC3"/>
    <w:rsid w:val="00CF47FA"/>
    <w:rsid w:val="00CF5751"/>
    <w:rsid w:val="00CF5BD9"/>
    <w:rsid w:val="00CF78B4"/>
    <w:rsid w:val="00CF7C0C"/>
    <w:rsid w:val="00D00872"/>
    <w:rsid w:val="00D00BEA"/>
    <w:rsid w:val="00D00BFC"/>
    <w:rsid w:val="00D03BE9"/>
    <w:rsid w:val="00D0435E"/>
    <w:rsid w:val="00D043E9"/>
    <w:rsid w:val="00D04F3B"/>
    <w:rsid w:val="00D05B81"/>
    <w:rsid w:val="00D06E81"/>
    <w:rsid w:val="00D1122A"/>
    <w:rsid w:val="00D153B5"/>
    <w:rsid w:val="00D22F1E"/>
    <w:rsid w:val="00D23417"/>
    <w:rsid w:val="00D23BA5"/>
    <w:rsid w:val="00D23CA6"/>
    <w:rsid w:val="00D24939"/>
    <w:rsid w:val="00D249F2"/>
    <w:rsid w:val="00D25195"/>
    <w:rsid w:val="00D25A8A"/>
    <w:rsid w:val="00D262FC"/>
    <w:rsid w:val="00D26A0A"/>
    <w:rsid w:val="00D3054D"/>
    <w:rsid w:val="00D30717"/>
    <w:rsid w:val="00D30850"/>
    <w:rsid w:val="00D309C6"/>
    <w:rsid w:val="00D31867"/>
    <w:rsid w:val="00D321F4"/>
    <w:rsid w:val="00D3383B"/>
    <w:rsid w:val="00D33CD4"/>
    <w:rsid w:val="00D34583"/>
    <w:rsid w:val="00D36686"/>
    <w:rsid w:val="00D36C6A"/>
    <w:rsid w:val="00D37866"/>
    <w:rsid w:val="00D40ADC"/>
    <w:rsid w:val="00D41614"/>
    <w:rsid w:val="00D41E40"/>
    <w:rsid w:val="00D4357E"/>
    <w:rsid w:val="00D50594"/>
    <w:rsid w:val="00D5111D"/>
    <w:rsid w:val="00D5115F"/>
    <w:rsid w:val="00D51A9B"/>
    <w:rsid w:val="00D57E28"/>
    <w:rsid w:val="00D60351"/>
    <w:rsid w:val="00D61636"/>
    <w:rsid w:val="00D6288A"/>
    <w:rsid w:val="00D629DE"/>
    <w:rsid w:val="00D63A21"/>
    <w:rsid w:val="00D64871"/>
    <w:rsid w:val="00D65436"/>
    <w:rsid w:val="00D66A85"/>
    <w:rsid w:val="00D7004F"/>
    <w:rsid w:val="00D7042B"/>
    <w:rsid w:val="00D7197A"/>
    <w:rsid w:val="00D72DAA"/>
    <w:rsid w:val="00D740EA"/>
    <w:rsid w:val="00D7596A"/>
    <w:rsid w:val="00D76E49"/>
    <w:rsid w:val="00D81293"/>
    <w:rsid w:val="00D81474"/>
    <w:rsid w:val="00D82808"/>
    <w:rsid w:val="00D82B28"/>
    <w:rsid w:val="00D83EEA"/>
    <w:rsid w:val="00D848B3"/>
    <w:rsid w:val="00D8553B"/>
    <w:rsid w:val="00D858A5"/>
    <w:rsid w:val="00D86342"/>
    <w:rsid w:val="00D90A50"/>
    <w:rsid w:val="00D92681"/>
    <w:rsid w:val="00D94168"/>
    <w:rsid w:val="00D94669"/>
    <w:rsid w:val="00D948F7"/>
    <w:rsid w:val="00D95840"/>
    <w:rsid w:val="00D96C98"/>
    <w:rsid w:val="00D973FA"/>
    <w:rsid w:val="00DA0A36"/>
    <w:rsid w:val="00DA266E"/>
    <w:rsid w:val="00DA2B84"/>
    <w:rsid w:val="00DA3993"/>
    <w:rsid w:val="00DA4960"/>
    <w:rsid w:val="00DA4D5C"/>
    <w:rsid w:val="00DA7C1F"/>
    <w:rsid w:val="00DB052C"/>
    <w:rsid w:val="00DB0677"/>
    <w:rsid w:val="00DB2B05"/>
    <w:rsid w:val="00DB3911"/>
    <w:rsid w:val="00DB452B"/>
    <w:rsid w:val="00DB59B7"/>
    <w:rsid w:val="00DB6A33"/>
    <w:rsid w:val="00DB723B"/>
    <w:rsid w:val="00DC0292"/>
    <w:rsid w:val="00DC11D9"/>
    <w:rsid w:val="00DC25AF"/>
    <w:rsid w:val="00DC2C77"/>
    <w:rsid w:val="00DC2D90"/>
    <w:rsid w:val="00DC2EEF"/>
    <w:rsid w:val="00DC5FD6"/>
    <w:rsid w:val="00DD1F72"/>
    <w:rsid w:val="00DD4A73"/>
    <w:rsid w:val="00DD4EE7"/>
    <w:rsid w:val="00DD62C7"/>
    <w:rsid w:val="00DE03F9"/>
    <w:rsid w:val="00DE04C0"/>
    <w:rsid w:val="00DE08A2"/>
    <w:rsid w:val="00DE4EE2"/>
    <w:rsid w:val="00DE73F7"/>
    <w:rsid w:val="00DE7CAE"/>
    <w:rsid w:val="00DF0DED"/>
    <w:rsid w:val="00DF1037"/>
    <w:rsid w:val="00DF1B2E"/>
    <w:rsid w:val="00DF3F87"/>
    <w:rsid w:val="00DF5902"/>
    <w:rsid w:val="00DF5A77"/>
    <w:rsid w:val="00DF7A60"/>
    <w:rsid w:val="00E00AFE"/>
    <w:rsid w:val="00E014E3"/>
    <w:rsid w:val="00E04A00"/>
    <w:rsid w:val="00E0577E"/>
    <w:rsid w:val="00E05A25"/>
    <w:rsid w:val="00E064C5"/>
    <w:rsid w:val="00E0674A"/>
    <w:rsid w:val="00E077C1"/>
    <w:rsid w:val="00E119D0"/>
    <w:rsid w:val="00E1326D"/>
    <w:rsid w:val="00E13779"/>
    <w:rsid w:val="00E16F0B"/>
    <w:rsid w:val="00E17855"/>
    <w:rsid w:val="00E201BE"/>
    <w:rsid w:val="00E20DCE"/>
    <w:rsid w:val="00E2261E"/>
    <w:rsid w:val="00E2263E"/>
    <w:rsid w:val="00E2272C"/>
    <w:rsid w:val="00E249FA"/>
    <w:rsid w:val="00E24FAD"/>
    <w:rsid w:val="00E25605"/>
    <w:rsid w:val="00E2692B"/>
    <w:rsid w:val="00E270F3"/>
    <w:rsid w:val="00E272E4"/>
    <w:rsid w:val="00E274FB"/>
    <w:rsid w:val="00E30F92"/>
    <w:rsid w:val="00E3506A"/>
    <w:rsid w:val="00E37884"/>
    <w:rsid w:val="00E37B37"/>
    <w:rsid w:val="00E410B3"/>
    <w:rsid w:val="00E422DB"/>
    <w:rsid w:val="00E42356"/>
    <w:rsid w:val="00E42D91"/>
    <w:rsid w:val="00E444EE"/>
    <w:rsid w:val="00E44936"/>
    <w:rsid w:val="00E455F9"/>
    <w:rsid w:val="00E4561D"/>
    <w:rsid w:val="00E47DA3"/>
    <w:rsid w:val="00E50A89"/>
    <w:rsid w:val="00E53C86"/>
    <w:rsid w:val="00E53D53"/>
    <w:rsid w:val="00E556D4"/>
    <w:rsid w:val="00E57EB4"/>
    <w:rsid w:val="00E60CEC"/>
    <w:rsid w:val="00E61277"/>
    <w:rsid w:val="00E6231C"/>
    <w:rsid w:val="00E639A2"/>
    <w:rsid w:val="00E64511"/>
    <w:rsid w:val="00E65803"/>
    <w:rsid w:val="00E662DA"/>
    <w:rsid w:val="00E66341"/>
    <w:rsid w:val="00E666FC"/>
    <w:rsid w:val="00E66DE5"/>
    <w:rsid w:val="00E67F5A"/>
    <w:rsid w:val="00E71225"/>
    <w:rsid w:val="00E71CBA"/>
    <w:rsid w:val="00E72A9B"/>
    <w:rsid w:val="00E74794"/>
    <w:rsid w:val="00E8202B"/>
    <w:rsid w:val="00E84FB1"/>
    <w:rsid w:val="00E8627A"/>
    <w:rsid w:val="00E87050"/>
    <w:rsid w:val="00E87AAA"/>
    <w:rsid w:val="00E90F6D"/>
    <w:rsid w:val="00E9157D"/>
    <w:rsid w:val="00E92D33"/>
    <w:rsid w:val="00E93EC8"/>
    <w:rsid w:val="00E944E6"/>
    <w:rsid w:val="00E9651D"/>
    <w:rsid w:val="00E9652F"/>
    <w:rsid w:val="00E97735"/>
    <w:rsid w:val="00EA1A0F"/>
    <w:rsid w:val="00EA3860"/>
    <w:rsid w:val="00EA38EA"/>
    <w:rsid w:val="00EA3971"/>
    <w:rsid w:val="00EA4627"/>
    <w:rsid w:val="00EA6D02"/>
    <w:rsid w:val="00EB0CDA"/>
    <w:rsid w:val="00EB35FB"/>
    <w:rsid w:val="00EB3C2E"/>
    <w:rsid w:val="00EB48D0"/>
    <w:rsid w:val="00EB4A2A"/>
    <w:rsid w:val="00EB598E"/>
    <w:rsid w:val="00EB64B7"/>
    <w:rsid w:val="00EB7471"/>
    <w:rsid w:val="00EC180F"/>
    <w:rsid w:val="00EC1E80"/>
    <w:rsid w:val="00EC2B26"/>
    <w:rsid w:val="00EC30D3"/>
    <w:rsid w:val="00EC4815"/>
    <w:rsid w:val="00EC50C9"/>
    <w:rsid w:val="00EC6263"/>
    <w:rsid w:val="00ED039D"/>
    <w:rsid w:val="00ED0E96"/>
    <w:rsid w:val="00ED1163"/>
    <w:rsid w:val="00ED3618"/>
    <w:rsid w:val="00ED3DBA"/>
    <w:rsid w:val="00ED5061"/>
    <w:rsid w:val="00ED6021"/>
    <w:rsid w:val="00ED6031"/>
    <w:rsid w:val="00ED617C"/>
    <w:rsid w:val="00EE00AE"/>
    <w:rsid w:val="00EE13E8"/>
    <w:rsid w:val="00EE264E"/>
    <w:rsid w:val="00EE3333"/>
    <w:rsid w:val="00EE71D5"/>
    <w:rsid w:val="00EF0BA5"/>
    <w:rsid w:val="00EF23A1"/>
    <w:rsid w:val="00EF73ED"/>
    <w:rsid w:val="00EF7777"/>
    <w:rsid w:val="00EF7F97"/>
    <w:rsid w:val="00F0101D"/>
    <w:rsid w:val="00F03069"/>
    <w:rsid w:val="00F03737"/>
    <w:rsid w:val="00F14D9B"/>
    <w:rsid w:val="00F16F6A"/>
    <w:rsid w:val="00F21EC0"/>
    <w:rsid w:val="00F252E5"/>
    <w:rsid w:val="00F25E99"/>
    <w:rsid w:val="00F2697D"/>
    <w:rsid w:val="00F273D9"/>
    <w:rsid w:val="00F2740C"/>
    <w:rsid w:val="00F30FEC"/>
    <w:rsid w:val="00F31DA9"/>
    <w:rsid w:val="00F327F1"/>
    <w:rsid w:val="00F347F7"/>
    <w:rsid w:val="00F353D5"/>
    <w:rsid w:val="00F35569"/>
    <w:rsid w:val="00F36F7A"/>
    <w:rsid w:val="00F37FA7"/>
    <w:rsid w:val="00F41884"/>
    <w:rsid w:val="00F42101"/>
    <w:rsid w:val="00F4295F"/>
    <w:rsid w:val="00F5047B"/>
    <w:rsid w:val="00F53916"/>
    <w:rsid w:val="00F544E2"/>
    <w:rsid w:val="00F55C6E"/>
    <w:rsid w:val="00F56080"/>
    <w:rsid w:val="00F57470"/>
    <w:rsid w:val="00F57532"/>
    <w:rsid w:val="00F60422"/>
    <w:rsid w:val="00F608F9"/>
    <w:rsid w:val="00F628A8"/>
    <w:rsid w:val="00F63CFF"/>
    <w:rsid w:val="00F63E0F"/>
    <w:rsid w:val="00F64046"/>
    <w:rsid w:val="00F64842"/>
    <w:rsid w:val="00F65C70"/>
    <w:rsid w:val="00F664AC"/>
    <w:rsid w:val="00F710C6"/>
    <w:rsid w:val="00F712FC"/>
    <w:rsid w:val="00F715A5"/>
    <w:rsid w:val="00F71E7E"/>
    <w:rsid w:val="00F7268D"/>
    <w:rsid w:val="00F7510C"/>
    <w:rsid w:val="00F75A2A"/>
    <w:rsid w:val="00F75B1E"/>
    <w:rsid w:val="00F77638"/>
    <w:rsid w:val="00F819BC"/>
    <w:rsid w:val="00F84429"/>
    <w:rsid w:val="00F84AB2"/>
    <w:rsid w:val="00F93001"/>
    <w:rsid w:val="00F93126"/>
    <w:rsid w:val="00FA0B53"/>
    <w:rsid w:val="00FA2632"/>
    <w:rsid w:val="00FA4029"/>
    <w:rsid w:val="00FA63AA"/>
    <w:rsid w:val="00FB296C"/>
    <w:rsid w:val="00FB43BB"/>
    <w:rsid w:val="00FB463E"/>
    <w:rsid w:val="00FB4BBE"/>
    <w:rsid w:val="00FB5283"/>
    <w:rsid w:val="00FB6AFE"/>
    <w:rsid w:val="00FC1005"/>
    <w:rsid w:val="00FC1D6F"/>
    <w:rsid w:val="00FC270A"/>
    <w:rsid w:val="00FC3F27"/>
    <w:rsid w:val="00FC45AC"/>
    <w:rsid w:val="00FC63E6"/>
    <w:rsid w:val="00FD3B9C"/>
    <w:rsid w:val="00FD46BE"/>
    <w:rsid w:val="00FD4E5B"/>
    <w:rsid w:val="00FD5A5F"/>
    <w:rsid w:val="00FD7697"/>
    <w:rsid w:val="00FE1248"/>
    <w:rsid w:val="00FE17F4"/>
    <w:rsid w:val="00FE25D8"/>
    <w:rsid w:val="00FE2D66"/>
    <w:rsid w:val="00FE476D"/>
    <w:rsid w:val="00FE5B86"/>
    <w:rsid w:val="00FE7BF6"/>
    <w:rsid w:val="00FF00BC"/>
    <w:rsid w:val="00FF2126"/>
    <w:rsid w:val="00FF38C1"/>
    <w:rsid w:val="00FF3D65"/>
    <w:rsid w:val="00FF5EC6"/>
    <w:rsid w:val="00FF6B80"/>
    <w:rsid w:val="00FF7737"/>
    <w:rsid w:val="01098F49"/>
    <w:rsid w:val="0285C51C"/>
    <w:rsid w:val="02F9937C"/>
    <w:rsid w:val="0DD66D1D"/>
    <w:rsid w:val="0EC1D26C"/>
    <w:rsid w:val="111E0CD0"/>
    <w:rsid w:val="2094824F"/>
    <w:rsid w:val="2210D15F"/>
    <w:rsid w:val="289084A8"/>
    <w:rsid w:val="28A85FC8"/>
    <w:rsid w:val="28B3EB9D"/>
    <w:rsid w:val="2D4F3E61"/>
    <w:rsid w:val="2D5BD538"/>
    <w:rsid w:val="2E36A29F"/>
    <w:rsid w:val="31BAA7C2"/>
    <w:rsid w:val="33352A48"/>
    <w:rsid w:val="3469A737"/>
    <w:rsid w:val="3570507A"/>
    <w:rsid w:val="37ADCF9C"/>
    <w:rsid w:val="381A796E"/>
    <w:rsid w:val="3874EEF4"/>
    <w:rsid w:val="3BF4C8E4"/>
    <w:rsid w:val="3D586CF9"/>
    <w:rsid w:val="3EC6758F"/>
    <w:rsid w:val="42E57D03"/>
    <w:rsid w:val="43FB04F3"/>
    <w:rsid w:val="4516CD3A"/>
    <w:rsid w:val="453115F7"/>
    <w:rsid w:val="48C2B14D"/>
    <w:rsid w:val="4C4A764F"/>
    <w:rsid w:val="4CEAE852"/>
    <w:rsid w:val="4DE36B8C"/>
    <w:rsid w:val="4F55198F"/>
    <w:rsid w:val="5219C9C1"/>
    <w:rsid w:val="548A5FB5"/>
    <w:rsid w:val="555DA43D"/>
    <w:rsid w:val="55F36F24"/>
    <w:rsid w:val="6150CA06"/>
    <w:rsid w:val="644D3E16"/>
    <w:rsid w:val="64B649F7"/>
    <w:rsid w:val="66620EDB"/>
    <w:rsid w:val="68676EF4"/>
    <w:rsid w:val="69352117"/>
    <w:rsid w:val="6A0E16AE"/>
    <w:rsid w:val="6A7B9E69"/>
    <w:rsid w:val="6AFDA099"/>
    <w:rsid w:val="70341B45"/>
    <w:rsid w:val="74F2C81A"/>
    <w:rsid w:val="7812EC75"/>
    <w:rsid w:val="786733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45CE"/>
  <w15:chartTrackingRefBased/>
  <w15:docId w15:val="{9F409BEC-E961-4E88-A7E1-46D052A7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B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7E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7E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7E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8751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05"/>
  </w:style>
  <w:style w:type="paragraph" w:styleId="Footer">
    <w:name w:val="footer"/>
    <w:basedOn w:val="Normal"/>
    <w:link w:val="FooterChar"/>
    <w:uiPriority w:val="99"/>
    <w:unhideWhenUsed/>
    <w:rsid w:val="00B8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05"/>
  </w:style>
  <w:style w:type="character" w:customStyle="1" w:styleId="Heading2Char">
    <w:name w:val="Heading 2 Char"/>
    <w:basedOn w:val="DefaultParagraphFont"/>
    <w:link w:val="Heading2"/>
    <w:uiPriority w:val="9"/>
    <w:rsid w:val="00B87E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87E0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87E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7E0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B87E0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87E05"/>
    <w:pPr>
      <w:ind w:left="720"/>
      <w:contextualSpacing/>
    </w:pPr>
  </w:style>
  <w:style w:type="paragraph" w:customStyle="1" w:styleId="Body">
    <w:name w:val="Body"/>
    <w:link w:val="BodyChar"/>
    <w:qFormat/>
    <w:rsid w:val="00C0148D"/>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C0148D"/>
    <w:rPr>
      <w:rFonts w:ascii="Arial" w:eastAsia="Times" w:hAnsi="Arial" w:cs="Times New Roman"/>
      <w:sz w:val="21"/>
      <w:szCs w:val="20"/>
    </w:rPr>
  </w:style>
  <w:style w:type="character" w:styleId="Hyperlink">
    <w:name w:val="Hyperlink"/>
    <w:basedOn w:val="DefaultParagraphFont"/>
    <w:uiPriority w:val="99"/>
    <w:unhideWhenUsed/>
    <w:rsid w:val="00F353D5"/>
    <w:rPr>
      <w:color w:val="0563C1" w:themeColor="hyperlink"/>
      <w:u w:val="single"/>
    </w:rPr>
  </w:style>
  <w:style w:type="character" w:styleId="UnresolvedMention">
    <w:name w:val="Unresolved Mention"/>
    <w:basedOn w:val="DefaultParagraphFont"/>
    <w:uiPriority w:val="99"/>
    <w:unhideWhenUsed/>
    <w:rsid w:val="00F353D5"/>
    <w:rPr>
      <w:color w:val="605E5C"/>
      <w:shd w:val="clear" w:color="auto" w:fill="E1DFDD"/>
    </w:rPr>
  </w:style>
  <w:style w:type="table" w:styleId="TableGrid">
    <w:name w:val="Table Grid"/>
    <w:basedOn w:val="TableNormal"/>
    <w:uiPriority w:val="39"/>
    <w:rsid w:val="00D2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1E8"/>
    <w:rPr>
      <w:sz w:val="16"/>
      <w:szCs w:val="16"/>
    </w:rPr>
  </w:style>
  <w:style w:type="paragraph" w:styleId="CommentText">
    <w:name w:val="annotation text"/>
    <w:basedOn w:val="Normal"/>
    <w:link w:val="CommentTextChar"/>
    <w:uiPriority w:val="99"/>
    <w:semiHidden/>
    <w:unhideWhenUsed/>
    <w:rsid w:val="00A451E8"/>
    <w:pPr>
      <w:spacing w:line="240" w:lineRule="auto"/>
    </w:pPr>
    <w:rPr>
      <w:sz w:val="20"/>
      <w:szCs w:val="20"/>
    </w:rPr>
  </w:style>
  <w:style w:type="character" w:customStyle="1" w:styleId="CommentTextChar">
    <w:name w:val="Comment Text Char"/>
    <w:basedOn w:val="DefaultParagraphFont"/>
    <w:link w:val="CommentText"/>
    <w:uiPriority w:val="99"/>
    <w:semiHidden/>
    <w:rsid w:val="00A451E8"/>
    <w:rPr>
      <w:sz w:val="20"/>
      <w:szCs w:val="20"/>
    </w:rPr>
  </w:style>
  <w:style w:type="paragraph" w:styleId="CommentSubject">
    <w:name w:val="annotation subject"/>
    <w:basedOn w:val="CommentText"/>
    <w:next w:val="CommentText"/>
    <w:link w:val="CommentSubjectChar"/>
    <w:uiPriority w:val="99"/>
    <w:semiHidden/>
    <w:unhideWhenUsed/>
    <w:rsid w:val="00A451E8"/>
    <w:rPr>
      <w:b/>
      <w:bCs/>
    </w:rPr>
  </w:style>
  <w:style w:type="character" w:customStyle="1" w:styleId="CommentSubjectChar">
    <w:name w:val="Comment Subject Char"/>
    <w:basedOn w:val="CommentTextChar"/>
    <w:link w:val="CommentSubject"/>
    <w:uiPriority w:val="99"/>
    <w:semiHidden/>
    <w:rsid w:val="00A451E8"/>
    <w:rPr>
      <w:b/>
      <w:bCs/>
      <w:sz w:val="20"/>
      <w:szCs w:val="20"/>
    </w:rPr>
  </w:style>
  <w:style w:type="paragraph" w:customStyle="1" w:styleId="TableParagraph">
    <w:name w:val="Table Paragraph"/>
    <w:basedOn w:val="Normal"/>
    <w:uiPriority w:val="1"/>
    <w:qFormat/>
    <w:rsid w:val="00A451E8"/>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ED1163"/>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ED1163"/>
    <w:rPr>
      <w:rFonts w:ascii="Arial" w:eastAsia="Arial" w:hAnsi="Arial" w:cs="Arial"/>
      <w:sz w:val="18"/>
      <w:szCs w:val="18"/>
      <w:lang w:val="en-US"/>
    </w:rPr>
  </w:style>
  <w:style w:type="character" w:customStyle="1" w:styleId="Heading1Char">
    <w:name w:val="Heading 1 Char"/>
    <w:basedOn w:val="DefaultParagraphFont"/>
    <w:link w:val="Heading1"/>
    <w:uiPriority w:val="9"/>
    <w:rsid w:val="006E6B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0F92"/>
    <w:pPr>
      <w:outlineLvl w:val="9"/>
    </w:pPr>
    <w:rPr>
      <w:lang w:val="en-US"/>
    </w:rPr>
  </w:style>
  <w:style w:type="paragraph" w:styleId="TOC3">
    <w:name w:val="toc 3"/>
    <w:basedOn w:val="Normal"/>
    <w:next w:val="Normal"/>
    <w:autoRedefine/>
    <w:uiPriority w:val="39"/>
    <w:unhideWhenUsed/>
    <w:rsid w:val="00E30F92"/>
    <w:pPr>
      <w:spacing w:after="100"/>
      <w:ind w:left="440"/>
    </w:p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color w:val="2F5496" w:themeColor="accent1" w:themeShade="BF"/>
    </w:rPr>
  </w:style>
  <w:style w:type="character" w:styleId="Mention">
    <w:name w:val="Mention"/>
    <w:basedOn w:val="DefaultParagraphFont"/>
    <w:uiPriority w:val="99"/>
    <w:unhideWhenUsed/>
    <w:rsid w:val="00001794"/>
    <w:rPr>
      <w:color w:val="2B579A"/>
      <w:shd w:val="clear" w:color="auto" w:fill="E1DFDD"/>
    </w:rPr>
  </w:style>
  <w:style w:type="paragraph" w:styleId="Revision">
    <w:name w:val="Revision"/>
    <w:hidden/>
    <w:uiPriority w:val="99"/>
    <w:semiHidden/>
    <w:rsid w:val="00AB1622"/>
    <w:pPr>
      <w:spacing w:after="0" w:line="240" w:lineRule="auto"/>
    </w:pPr>
  </w:style>
  <w:style w:type="paragraph" w:customStyle="1" w:styleId="Normalnospace">
    <w:name w:val="Normal (no space)"/>
    <w:basedOn w:val="Normal"/>
    <w:qFormat/>
    <w:rsid w:val="00591C78"/>
    <w:pPr>
      <w:spacing w:before="120" w:after="120" w:line="240" w:lineRule="auto"/>
    </w:pPr>
    <w:rPr>
      <w:rFonts w:ascii="Arial" w:hAnsi="Arial" w:cs="Arial"/>
      <w:sz w:val="20"/>
      <w:szCs w:val="20"/>
      <w:lang w:eastAsia="en-AU"/>
    </w:rPr>
  </w:style>
  <w:style w:type="paragraph" w:styleId="NoSpacing">
    <w:name w:val="No Spacing"/>
    <w:aliases w:val="Drafting notes"/>
    <w:link w:val="NoSpacingChar"/>
    <w:uiPriority w:val="1"/>
    <w:qFormat/>
    <w:rsid w:val="002A48C4"/>
    <w:pPr>
      <w:spacing w:after="120" w:line="240" w:lineRule="auto"/>
    </w:pPr>
    <w:rPr>
      <w:rFonts w:ascii="Arial" w:eastAsia="Times New Roman" w:hAnsi="Arial" w:cs="Arial"/>
      <w:i/>
      <w:iCs/>
      <w:color w:val="538135" w:themeColor="accent6" w:themeShade="BF"/>
      <w:sz w:val="20"/>
      <w:szCs w:val="20"/>
      <w:lang w:eastAsia="en-AU"/>
    </w:rPr>
  </w:style>
  <w:style w:type="character" w:customStyle="1" w:styleId="NoSpacingChar">
    <w:name w:val="No Spacing Char"/>
    <w:aliases w:val="Drafting notes Char"/>
    <w:basedOn w:val="DefaultParagraphFont"/>
    <w:link w:val="NoSpacing"/>
    <w:uiPriority w:val="1"/>
    <w:rsid w:val="002A48C4"/>
    <w:rPr>
      <w:rFonts w:ascii="Arial" w:eastAsia="Times New Roman" w:hAnsi="Arial" w:cs="Arial"/>
      <w:i/>
      <w:iCs/>
      <w:color w:val="538135" w:themeColor="accent6" w:themeShade="BF"/>
      <w:sz w:val="20"/>
      <w:szCs w:val="20"/>
      <w:lang w:eastAsia="en-AU"/>
    </w:rPr>
  </w:style>
  <w:style w:type="paragraph" w:styleId="BalloonText">
    <w:name w:val="Balloon Text"/>
    <w:basedOn w:val="Normal"/>
    <w:link w:val="BalloonTextChar"/>
    <w:uiPriority w:val="99"/>
    <w:semiHidden/>
    <w:unhideWhenUsed/>
    <w:rsid w:val="00C44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A86"/>
    <w:rPr>
      <w:rFonts w:ascii="Segoe UI" w:hAnsi="Segoe UI" w:cs="Segoe UI"/>
      <w:sz w:val="18"/>
      <w:szCs w:val="18"/>
    </w:rPr>
  </w:style>
  <w:style w:type="character" w:styleId="FollowedHyperlink">
    <w:name w:val="FollowedHyperlink"/>
    <w:basedOn w:val="DefaultParagraphFont"/>
    <w:uiPriority w:val="99"/>
    <w:semiHidden/>
    <w:unhideWhenUsed/>
    <w:rsid w:val="00745969"/>
    <w:rPr>
      <w:color w:val="954F72" w:themeColor="followedHyperlink"/>
      <w:u w:val="single"/>
    </w:rPr>
  </w:style>
  <w:style w:type="paragraph" w:styleId="NormalWeb">
    <w:name w:val="Normal (Web)"/>
    <w:basedOn w:val="Normal"/>
    <w:uiPriority w:val="99"/>
    <w:semiHidden/>
    <w:unhideWhenUsed/>
    <w:rsid w:val="00F418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Title"/>
    <w:link w:val="SubtitleChar"/>
    <w:uiPriority w:val="11"/>
    <w:qFormat/>
    <w:rsid w:val="0087009A"/>
    <w:pPr>
      <w:spacing w:after="120"/>
      <w:contextualSpacing w:val="0"/>
    </w:pPr>
    <w:rPr>
      <w:rFonts w:asciiTheme="minorHAnsi" w:eastAsia="Times New Roman" w:hAnsiTheme="minorHAnsi" w:cstheme="minorHAnsi"/>
      <w:color w:val="FFFFFF"/>
      <w:spacing w:val="0"/>
      <w:kern w:val="0"/>
      <w:sz w:val="32"/>
      <w:szCs w:val="32"/>
      <w:lang w:eastAsia="en-AU"/>
    </w:rPr>
  </w:style>
  <w:style w:type="character" w:customStyle="1" w:styleId="SubtitleChar">
    <w:name w:val="Subtitle Char"/>
    <w:basedOn w:val="DefaultParagraphFont"/>
    <w:link w:val="Subtitle"/>
    <w:uiPriority w:val="11"/>
    <w:rsid w:val="0087009A"/>
    <w:rPr>
      <w:rFonts w:eastAsia="Times New Roman" w:cstheme="minorHAnsi"/>
      <w:color w:val="FFFFF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490">
      <w:bodyDiv w:val="1"/>
      <w:marLeft w:val="0"/>
      <w:marRight w:val="0"/>
      <w:marTop w:val="0"/>
      <w:marBottom w:val="0"/>
      <w:divBdr>
        <w:top w:val="none" w:sz="0" w:space="0" w:color="auto"/>
        <w:left w:val="none" w:sz="0" w:space="0" w:color="auto"/>
        <w:bottom w:val="none" w:sz="0" w:space="0" w:color="auto"/>
        <w:right w:val="none" w:sz="0" w:space="0" w:color="auto"/>
      </w:divBdr>
    </w:div>
    <w:div w:id="337733429">
      <w:bodyDiv w:val="1"/>
      <w:marLeft w:val="0"/>
      <w:marRight w:val="0"/>
      <w:marTop w:val="0"/>
      <w:marBottom w:val="0"/>
      <w:divBdr>
        <w:top w:val="none" w:sz="0" w:space="0" w:color="auto"/>
        <w:left w:val="none" w:sz="0" w:space="0" w:color="auto"/>
        <w:bottom w:val="none" w:sz="0" w:space="0" w:color="auto"/>
        <w:right w:val="none" w:sz="0" w:space="0" w:color="auto"/>
      </w:divBdr>
    </w:div>
    <w:div w:id="10208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fence.gov.au/ExportControls/Default.a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fence@ecodev.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jpr.vic.gov.au/priva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34AF83C05B4204892B38598A98AF062" ma:contentTypeVersion="28" ma:contentTypeDescription="DEDJTR Document" ma:contentTypeScope="" ma:versionID="1086043ba99633e6ff1576eaa222c99e">
  <xsd:schema xmlns:xsd="http://www.w3.org/2001/XMLSchema" xmlns:xs="http://www.w3.org/2001/XMLSchema" xmlns:p="http://schemas.microsoft.com/office/2006/metadata/properties" xmlns:ns2="1970f3ff-c7c3-4b73-8f0c-0bc260d159f3" xmlns:ns3="ae8a8d07-9f49-4144-9d00-9c8eeb86fe7b" xmlns:ns4="0ac3bf17-69b5-4d20-a0e1-b999421a1969" targetNamespace="http://schemas.microsoft.com/office/2006/metadata/properties" ma:root="true" ma:fieldsID="cdc1cfe66fd14e300001e560311ce216" ns2:_="" ns3:_="" ns4:_="">
    <xsd:import namespace="1970f3ff-c7c3-4b73-8f0c-0bc260d159f3"/>
    <xsd:import namespace="ae8a8d07-9f49-4144-9d00-9c8eeb86fe7b"/>
    <xsd:import namespace="0ac3bf17-69b5-4d20-a0e1-b999421a1969"/>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8a8d07-9f49-4144-9d00-9c8eeb86fe7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c520b5c-fcab-4d36-9b24-7b5fdb358981}" ma:internalName="TaxCatchAll" ma:showField="CatchAllData" ma:web="ae8a8d07-9f49-4144-9d00-9c8eeb86fe7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c520b5c-fcab-4d36-9b24-7b5fdb358981}" ma:internalName="TaxCatchAllLabel" ma:readOnly="true" ma:showField="CatchAllDataLabel" ma:web="ae8a8d07-9f49-4144-9d00-9c8eeb86fe7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3bf17-69b5-4d20-a0e1-b999421a196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8a8d07-9f49-4144-9d00-9c8eeb86fe7b">
      <UserInfo>
        <DisplayName>All Users (windows)</DisplayName>
        <AccountId>55</AccountId>
        <AccountType/>
      </UserInfo>
      <UserInfo>
        <DisplayName>Alexander F Hurcombe (DJPR)</DisplayName>
        <AccountId>292</AccountId>
        <AccountType/>
      </UserInfo>
    </SharedWithUsers>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ae8a8d07-9f49-4144-9d00-9c8eeb86fe7b"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lcf76f155ced4ddcb4097134ff3c332f xmlns="0ac3bf17-69b5-4d20-a0e1-b999421a19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E7B4-20C0-4B55-BD4B-692D896FE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ae8a8d07-9f49-4144-9d00-9c8eeb86fe7b"/>
    <ds:schemaRef ds:uri="0ac3bf17-69b5-4d20-a0e1-b999421a1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36EE4-85A6-4E40-9E27-60176C1992A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970f3ff-c7c3-4b73-8f0c-0bc260d159f3"/>
    <ds:schemaRef ds:uri="ae8a8d07-9f49-4144-9d00-9c8eeb86fe7b"/>
    <ds:schemaRef ds:uri="http://schemas.microsoft.com/office/infopath/2007/PartnerControls"/>
    <ds:schemaRef ds:uri="http://purl.org/dc/terms/"/>
    <ds:schemaRef ds:uri="0ac3bf17-69b5-4d20-a0e1-b999421a1969"/>
    <ds:schemaRef ds:uri="http://www.w3.org/XML/1998/namespace"/>
    <ds:schemaRef ds:uri="http://purl.org/dc/dcmitype/"/>
  </ds:schemaRefs>
</ds:datastoreItem>
</file>

<file path=customXml/itemProps3.xml><?xml version="1.0" encoding="utf-8"?>
<ds:datastoreItem xmlns:ds="http://schemas.openxmlformats.org/officeDocument/2006/customXml" ds:itemID="{0C030078-4A0B-4D43-8524-BAB0A776AE3E}">
  <ds:schemaRefs>
    <ds:schemaRef ds:uri="http://schemas.microsoft.com/sharepoint/v3/contenttype/forms"/>
  </ds:schemaRefs>
</ds:datastoreItem>
</file>

<file path=customXml/itemProps4.xml><?xml version="1.0" encoding="utf-8"?>
<ds:datastoreItem xmlns:ds="http://schemas.openxmlformats.org/officeDocument/2006/customXml" ds:itemID="{ED0BDDC3-F280-476C-9764-BF165145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30846</CharactersWithSpaces>
  <SharedDoc>false</SharedDoc>
  <HLinks>
    <vt:vector size="114" baseType="variant">
      <vt:variant>
        <vt:i4>5832829</vt:i4>
      </vt:variant>
      <vt:variant>
        <vt:i4>102</vt:i4>
      </vt:variant>
      <vt:variant>
        <vt:i4>0</vt:i4>
      </vt:variant>
      <vt:variant>
        <vt:i4>5</vt:i4>
      </vt:variant>
      <vt:variant>
        <vt:lpwstr>mailto:defence@ecodev.vic.gov.au</vt:lpwstr>
      </vt:variant>
      <vt:variant>
        <vt:lpwstr/>
      </vt:variant>
      <vt:variant>
        <vt:i4>6488165</vt:i4>
      </vt:variant>
      <vt:variant>
        <vt:i4>99</vt:i4>
      </vt:variant>
      <vt:variant>
        <vt:i4>0</vt:i4>
      </vt:variant>
      <vt:variant>
        <vt:i4>5</vt:i4>
      </vt:variant>
      <vt:variant>
        <vt:lpwstr>http://www.djpr.vic.gov.au/privacy</vt:lpwstr>
      </vt:variant>
      <vt:variant>
        <vt:lpwstr/>
      </vt:variant>
      <vt:variant>
        <vt:i4>7995455</vt:i4>
      </vt:variant>
      <vt:variant>
        <vt:i4>96</vt:i4>
      </vt:variant>
      <vt:variant>
        <vt:i4>0</vt:i4>
      </vt:variant>
      <vt:variant>
        <vt:i4>5</vt:i4>
      </vt:variant>
      <vt:variant>
        <vt:lpwstr>http://www.business.vic.gov.au/</vt:lpwstr>
      </vt:variant>
      <vt:variant>
        <vt:lpwstr/>
      </vt:variant>
      <vt:variant>
        <vt:i4>720967</vt:i4>
      </vt:variant>
      <vt:variant>
        <vt:i4>93</vt:i4>
      </vt:variant>
      <vt:variant>
        <vt:i4>0</vt:i4>
      </vt:variant>
      <vt:variant>
        <vt:i4>5</vt:i4>
      </vt:variant>
      <vt:variant>
        <vt:lpwstr>http://www.defence.gov.au/ExportControls/Default.asp</vt:lpwstr>
      </vt:variant>
      <vt:variant>
        <vt:lpwstr/>
      </vt:variant>
      <vt:variant>
        <vt:i4>1441845</vt:i4>
      </vt:variant>
      <vt:variant>
        <vt:i4>86</vt:i4>
      </vt:variant>
      <vt:variant>
        <vt:i4>0</vt:i4>
      </vt:variant>
      <vt:variant>
        <vt:i4>5</vt:i4>
      </vt:variant>
      <vt:variant>
        <vt:lpwstr/>
      </vt:variant>
      <vt:variant>
        <vt:lpwstr>_Toc105166762</vt:lpwstr>
      </vt:variant>
      <vt:variant>
        <vt:i4>1441845</vt:i4>
      </vt:variant>
      <vt:variant>
        <vt:i4>80</vt:i4>
      </vt:variant>
      <vt:variant>
        <vt:i4>0</vt:i4>
      </vt:variant>
      <vt:variant>
        <vt:i4>5</vt:i4>
      </vt:variant>
      <vt:variant>
        <vt:lpwstr/>
      </vt:variant>
      <vt:variant>
        <vt:lpwstr>_Toc105166761</vt:lpwstr>
      </vt:variant>
      <vt:variant>
        <vt:i4>1441845</vt:i4>
      </vt:variant>
      <vt:variant>
        <vt:i4>74</vt:i4>
      </vt:variant>
      <vt:variant>
        <vt:i4>0</vt:i4>
      </vt:variant>
      <vt:variant>
        <vt:i4>5</vt:i4>
      </vt:variant>
      <vt:variant>
        <vt:lpwstr/>
      </vt:variant>
      <vt:variant>
        <vt:lpwstr>_Toc105166760</vt:lpwstr>
      </vt:variant>
      <vt:variant>
        <vt:i4>1376309</vt:i4>
      </vt:variant>
      <vt:variant>
        <vt:i4>68</vt:i4>
      </vt:variant>
      <vt:variant>
        <vt:i4>0</vt:i4>
      </vt:variant>
      <vt:variant>
        <vt:i4>5</vt:i4>
      </vt:variant>
      <vt:variant>
        <vt:lpwstr/>
      </vt:variant>
      <vt:variant>
        <vt:lpwstr>_Toc105166759</vt:lpwstr>
      </vt:variant>
      <vt:variant>
        <vt:i4>1376309</vt:i4>
      </vt:variant>
      <vt:variant>
        <vt:i4>62</vt:i4>
      </vt:variant>
      <vt:variant>
        <vt:i4>0</vt:i4>
      </vt:variant>
      <vt:variant>
        <vt:i4>5</vt:i4>
      </vt:variant>
      <vt:variant>
        <vt:lpwstr/>
      </vt:variant>
      <vt:variant>
        <vt:lpwstr>_Toc105166758</vt:lpwstr>
      </vt:variant>
      <vt:variant>
        <vt:i4>1376309</vt:i4>
      </vt:variant>
      <vt:variant>
        <vt:i4>56</vt:i4>
      </vt:variant>
      <vt:variant>
        <vt:i4>0</vt:i4>
      </vt:variant>
      <vt:variant>
        <vt:i4>5</vt:i4>
      </vt:variant>
      <vt:variant>
        <vt:lpwstr/>
      </vt:variant>
      <vt:variant>
        <vt:lpwstr>_Toc105166757</vt:lpwstr>
      </vt:variant>
      <vt:variant>
        <vt:i4>1376309</vt:i4>
      </vt:variant>
      <vt:variant>
        <vt:i4>50</vt:i4>
      </vt:variant>
      <vt:variant>
        <vt:i4>0</vt:i4>
      </vt:variant>
      <vt:variant>
        <vt:i4>5</vt:i4>
      </vt:variant>
      <vt:variant>
        <vt:lpwstr/>
      </vt:variant>
      <vt:variant>
        <vt:lpwstr>_Toc105166756</vt:lpwstr>
      </vt:variant>
      <vt:variant>
        <vt:i4>1376309</vt:i4>
      </vt:variant>
      <vt:variant>
        <vt:i4>44</vt:i4>
      </vt:variant>
      <vt:variant>
        <vt:i4>0</vt:i4>
      </vt:variant>
      <vt:variant>
        <vt:i4>5</vt:i4>
      </vt:variant>
      <vt:variant>
        <vt:lpwstr/>
      </vt:variant>
      <vt:variant>
        <vt:lpwstr>_Toc105166755</vt:lpwstr>
      </vt:variant>
      <vt:variant>
        <vt:i4>1376309</vt:i4>
      </vt:variant>
      <vt:variant>
        <vt:i4>38</vt:i4>
      </vt:variant>
      <vt:variant>
        <vt:i4>0</vt:i4>
      </vt:variant>
      <vt:variant>
        <vt:i4>5</vt:i4>
      </vt:variant>
      <vt:variant>
        <vt:lpwstr/>
      </vt:variant>
      <vt:variant>
        <vt:lpwstr>_Toc105166754</vt:lpwstr>
      </vt:variant>
      <vt:variant>
        <vt:i4>1376309</vt:i4>
      </vt:variant>
      <vt:variant>
        <vt:i4>32</vt:i4>
      </vt:variant>
      <vt:variant>
        <vt:i4>0</vt:i4>
      </vt:variant>
      <vt:variant>
        <vt:i4>5</vt:i4>
      </vt:variant>
      <vt:variant>
        <vt:lpwstr/>
      </vt:variant>
      <vt:variant>
        <vt:lpwstr>_Toc105166752</vt:lpwstr>
      </vt:variant>
      <vt:variant>
        <vt:i4>1376309</vt:i4>
      </vt:variant>
      <vt:variant>
        <vt:i4>26</vt:i4>
      </vt:variant>
      <vt:variant>
        <vt:i4>0</vt:i4>
      </vt:variant>
      <vt:variant>
        <vt:i4>5</vt:i4>
      </vt:variant>
      <vt:variant>
        <vt:lpwstr/>
      </vt:variant>
      <vt:variant>
        <vt:lpwstr>_Toc105166751</vt:lpwstr>
      </vt:variant>
      <vt:variant>
        <vt:i4>1376309</vt:i4>
      </vt:variant>
      <vt:variant>
        <vt:i4>20</vt:i4>
      </vt:variant>
      <vt:variant>
        <vt:i4>0</vt:i4>
      </vt:variant>
      <vt:variant>
        <vt:i4>5</vt:i4>
      </vt:variant>
      <vt:variant>
        <vt:lpwstr/>
      </vt:variant>
      <vt:variant>
        <vt:lpwstr>_Toc105166750</vt:lpwstr>
      </vt:variant>
      <vt:variant>
        <vt:i4>1310773</vt:i4>
      </vt:variant>
      <vt:variant>
        <vt:i4>14</vt:i4>
      </vt:variant>
      <vt:variant>
        <vt:i4>0</vt:i4>
      </vt:variant>
      <vt:variant>
        <vt:i4>5</vt:i4>
      </vt:variant>
      <vt:variant>
        <vt:lpwstr/>
      </vt:variant>
      <vt:variant>
        <vt:lpwstr>_Toc105166749</vt:lpwstr>
      </vt:variant>
      <vt:variant>
        <vt:i4>1310773</vt:i4>
      </vt:variant>
      <vt:variant>
        <vt:i4>8</vt:i4>
      </vt:variant>
      <vt:variant>
        <vt:i4>0</vt:i4>
      </vt:variant>
      <vt:variant>
        <vt:i4>5</vt:i4>
      </vt:variant>
      <vt:variant>
        <vt:lpwstr/>
      </vt:variant>
      <vt:variant>
        <vt:lpwstr>_Toc105166748</vt:lpwstr>
      </vt:variant>
      <vt:variant>
        <vt:i4>1310773</vt:i4>
      </vt:variant>
      <vt:variant>
        <vt:i4>2</vt:i4>
      </vt:variant>
      <vt:variant>
        <vt:i4>0</vt:i4>
      </vt:variant>
      <vt:variant>
        <vt:i4>5</vt:i4>
      </vt:variant>
      <vt:variant>
        <vt:lpwstr/>
      </vt:variant>
      <vt:variant>
        <vt:lpwstr>_Toc105166747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 Hurcombe (DJPR)</dc:creator>
  <cp:keywords/>
  <dc:description/>
  <cp:lastModifiedBy>Alexander F Hurcombe (DJPR)</cp:lastModifiedBy>
  <cp:revision>2</cp:revision>
  <cp:lastPrinted>2022-06-20T05:22:00Z</cp:lastPrinted>
  <dcterms:created xsi:type="dcterms:W3CDTF">2022-08-18T03:54:00Z</dcterms:created>
  <dcterms:modified xsi:type="dcterms:W3CDTF">2022-08-18T03:54:00Z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0x010100611F6414DFB111E7BA88F9DF1743E31700B34AF83C05B4204892B38598A98AF062</vt:lpwstr>
  </property>
  <property fmtid="{D5CDD505-2E9C-101B-9397-08002B2CF9AE}" pid="3" name="DEDJTRSection">
    <vt:lpwstr/>
  </property>
  <property fmtid="{D5CDD505-2E9C-101B-9397-08002B2CF9AE}" pid="4" name="DEDJTRBranch">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2022-08-18T03:54:56Z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b89904e1-3670-4df5-92b6-72afdbf97f18</vt:lpwstr>
  </property>
  <property fmtid="{D5CDD505-2E9C-101B-9397-08002B2CF9AE}" pid="15" name="MSIP_Label_d00a4df9-c942-4b09-b23a-6c1023f6de27_ContentBits">
    <vt:lpwstr>3</vt:lpwstr>
  </property>
</Properties>
</file>